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FB" w:rsidRPr="00DE47FB" w:rsidRDefault="00DE47FB" w:rsidP="00DE47FB">
      <w:pPr>
        <w:jc w:val="center"/>
        <w:rPr>
          <w:b/>
          <w:sz w:val="28"/>
          <w:szCs w:val="28"/>
        </w:rPr>
      </w:pPr>
      <w:r w:rsidRPr="00DE47FB">
        <w:rPr>
          <w:b/>
          <w:sz w:val="28"/>
          <w:szCs w:val="28"/>
        </w:rPr>
        <w:t>Informatīv</w:t>
      </w:r>
      <w:r w:rsidR="001575F1">
        <w:rPr>
          <w:b/>
          <w:sz w:val="28"/>
          <w:szCs w:val="28"/>
        </w:rPr>
        <w:t>ais</w:t>
      </w:r>
      <w:r w:rsidRPr="00DE47FB">
        <w:rPr>
          <w:b/>
          <w:sz w:val="28"/>
          <w:szCs w:val="28"/>
        </w:rPr>
        <w:t xml:space="preserve"> ziņojums </w:t>
      </w:r>
    </w:p>
    <w:p w:rsidR="00DE47FB" w:rsidRPr="00DE47FB" w:rsidRDefault="00DE47FB" w:rsidP="00DE47FB">
      <w:pPr>
        <w:jc w:val="center"/>
        <w:rPr>
          <w:b/>
          <w:sz w:val="28"/>
          <w:szCs w:val="28"/>
        </w:rPr>
      </w:pPr>
      <w:r w:rsidRPr="00DE47FB">
        <w:rPr>
          <w:b/>
          <w:sz w:val="28"/>
          <w:szCs w:val="28"/>
        </w:rPr>
        <w:t>par lētākās</w:t>
      </w:r>
      <w:r>
        <w:rPr>
          <w:b/>
          <w:sz w:val="28"/>
          <w:szCs w:val="28"/>
        </w:rPr>
        <w:t xml:space="preserve"> c</w:t>
      </w:r>
      <w:r w:rsidRPr="00DE47FB">
        <w:rPr>
          <w:b/>
          <w:sz w:val="28"/>
          <w:szCs w:val="28"/>
        </w:rPr>
        <w:t>enas zāļu izvēles procedūru</w:t>
      </w:r>
    </w:p>
    <w:p w:rsidR="00DE47FB" w:rsidRPr="00DE47FB" w:rsidRDefault="00DE47FB" w:rsidP="00DE47FB">
      <w:pPr>
        <w:jc w:val="both"/>
        <w:rPr>
          <w:sz w:val="28"/>
          <w:szCs w:val="28"/>
        </w:rPr>
      </w:pPr>
    </w:p>
    <w:p w:rsidR="00DE47FB" w:rsidRPr="00DE47FB" w:rsidRDefault="00DE47FB" w:rsidP="00DE47FB">
      <w:pPr>
        <w:autoSpaceDE w:val="0"/>
        <w:autoSpaceDN w:val="0"/>
        <w:adjustRightInd w:val="0"/>
        <w:ind w:firstLine="720"/>
        <w:jc w:val="both"/>
        <w:rPr>
          <w:sz w:val="28"/>
          <w:szCs w:val="28"/>
        </w:rPr>
      </w:pPr>
      <w:r w:rsidRPr="00DE47FB">
        <w:rPr>
          <w:sz w:val="28"/>
          <w:szCs w:val="28"/>
        </w:rPr>
        <w:t>Informatīvais ziņojums sagatavots, pamatojo</w:t>
      </w:r>
      <w:r w:rsidR="00C6065B">
        <w:rPr>
          <w:sz w:val="28"/>
          <w:szCs w:val="28"/>
        </w:rPr>
        <w:t>ties uz Ministru kabineta 2011.gada 19.</w:t>
      </w:r>
      <w:r w:rsidRPr="00DE47FB">
        <w:rPr>
          <w:sz w:val="28"/>
          <w:szCs w:val="28"/>
        </w:rPr>
        <w:t>oktobra sēd</w:t>
      </w:r>
      <w:r w:rsidR="002B1143">
        <w:rPr>
          <w:sz w:val="28"/>
          <w:szCs w:val="28"/>
        </w:rPr>
        <w:t>es protokol</w:t>
      </w:r>
      <w:r w:rsidR="00C6065B">
        <w:rPr>
          <w:sz w:val="28"/>
          <w:szCs w:val="28"/>
        </w:rPr>
        <w:t>a lēmuma</w:t>
      </w:r>
      <w:r w:rsidR="002B1143">
        <w:rPr>
          <w:sz w:val="28"/>
          <w:szCs w:val="28"/>
        </w:rPr>
        <w:t xml:space="preserve"> Nr.60</w:t>
      </w:r>
      <w:r w:rsidRPr="00DE47FB">
        <w:rPr>
          <w:sz w:val="28"/>
          <w:szCs w:val="28"/>
        </w:rPr>
        <w:t xml:space="preserve"> </w:t>
      </w:r>
      <w:r w:rsidR="00C6065B">
        <w:rPr>
          <w:sz w:val="28"/>
          <w:szCs w:val="28"/>
        </w:rPr>
        <w:t xml:space="preserve">§57 4.punktā </w:t>
      </w:r>
      <w:r w:rsidRPr="00DE47FB">
        <w:rPr>
          <w:sz w:val="28"/>
          <w:szCs w:val="28"/>
        </w:rPr>
        <w:t>no</w:t>
      </w:r>
      <w:r w:rsidR="00C6065B">
        <w:rPr>
          <w:sz w:val="28"/>
          <w:szCs w:val="28"/>
        </w:rPr>
        <w:t>teikto,</w:t>
      </w:r>
      <w:r w:rsidRPr="00DE47FB">
        <w:rPr>
          <w:sz w:val="28"/>
          <w:szCs w:val="28"/>
        </w:rPr>
        <w:t xml:space="preserve"> ka „Veselības ministrijai mēneša laikā sagatavot un iesniegt izskatīšanai Ministru kabinetā informatīvo ziņojumu par lētākās cenas zāļu izvēles procedūru”.</w:t>
      </w:r>
    </w:p>
    <w:p w:rsidR="00DE47FB" w:rsidRDefault="00DE47FB" w:rsidP="006E6ECC">
      <w:pPr>
        <w:autoSpaceDE w:val="0"/>
        <w:autoSpaceDN w:val="0"/>
        <w:adjustRightInd w:val="0"/>
        <w:ind w:firstLine="720"/>
        <w:jc w:val="both"/>
        <w:rPr>
          <w:sz w:val="28"/>
          <w:szCs w:val="28"/>
        </w:rPr>
      </w:pPr>
      <w:r w:rsidRPr="00DE47FB">
        <w:rPr>
          <w:sz w:val="28"/>
          <w:szCs w:val="28"/>
        </w:rPr>
        <w:t xml:space="preserve">Eiropas Komisijas 2009. gada 8. jūlija paziņojuma </w:t>
      </w:r>
      <w:r w:rsidR="00C6065B" w:rsidRPr="007A6DAA">
        <w:rPr>
          <w:rStyle w:val="Strong"/>
          <w:b w:val="0"/>
          <w:color w:val="000000"/>
          <w:sz w:val="28"/>
          <w:szCs w:val="28"/>
        </w:rPr>
        <w:t>”Farmācijas nozares izmeklēšanas ziņojums”</w:t>
      </w:r>
      <w:r w:rsidR="00C6065B" w:rsidRPr="007A6DAA">
        <w:rPr>
          <w:rStyle w:val="Strong"/>
          <w:b w:val="0"/>
          <w:color w:val="000000"/>
          <w:sz w:val="28"/>
          <w:szCs w:val="28"/>
          <w:vertAlign w:val="superscript"/>
        </w:rPr>
        <w:t>1</w:t>
      </w:r>
      <w:r w:rsidRPr="00DE47FB">
        <w:rPr>
          <w:sz w:val="28"/>
          <w:szCs w:val="28"/>
        </w:rPr>
        <w:t xml:space="preserve"> sadaļā „</w:t>
      </w:r>
      <w:r w:rsidR="00C6065B">
        <w:rPr>
          <w:sz w:val="28"/>
          <w:szCs w:val="28"/>
        </w:rPr>
        <w:t>N</w:t>
      </w:r>
      <w:r w:rsidRPr="00DE47FB">
        <w:rPr>
          <w:sz w:val="28"/>
          <w:szCs w:val="28"/>
        </w:rPr>
        <w:t xml:space="preserve">epieciešamība kontrolēt valsts budžeta līdzekļus” cita starpā norādīts, ka „Konkurence, tostarp </w:t>
      </w:r>
      <w:proofErr w:type="spellStart"/>
      <w:r w:rsidRPr="00DE47FB">
        <w:rPr>
          <w:sz w:val="28"/>
          <w:szCs w:val="28"/>
        </w:rPr>
        <w:t>ģenērisko</w:t>
      </w:r>
      <w:proofErr w:type="spellEnd"/>
      <w:r w:rsidRPr="00DE47FB">
        <w:rPr>
          <w:sz w:val="28"/>
          <w:szCs w:val="28"/>
        </w:rPr>
        <w:t xml:space="preserve"> zāļu radītā konkurence, ir svarīga, lai kontrolētu valsts budžeta līdzekļus un patērētājiem/pacientiem nod</w:t>
      </w:r>
      <w:r w:rsidR="006E6ECC">
        <w:rPr>
          <w:sz w:val="28"/>
          <w:szCs w:val="28"/>
        </w:rPr>
        <w:t>rošinātu plašu piekļuvi zālēm.”</w:t>
      </w:r>
    </w:p>
    <w:p w:rsidR="00DE47FB" w:rsidRPr="00DE47FB" w:rsidRDefault="00DE47FB" w:rsidP="006E6ECC">
      <w:pPr>
        <w:autoSpaceDE w:val="0"/>
        <w:autoSpaceDN w:val="0"/>
        <w:adjustRightInd w:val="0"/>
        <w:ind w:firstLine="720"/>
        <w:jc w:val="both"/>
        <w:rPr>
          <w:sz w:val="28"/>
          <w:szCs w:val="28"/>
        </w:rPr>
      </w:pPr>
      <w:proofErr w:type="spellStart"/>
      <w:r w:rsidRPr="00DE47FB">
        <w:rPr>
          <w:sz w:val="28"/>
          <w:szCs w:val="28"/>
        </w:rPr>
        <w:t>Ģenēriskās</w:t>
      </w:r>
      <w:proofErr w:type="spellEnd"/>
      <w:r w:rsidRPr="00DE47FB">
        <w:rPr>
          <w:sz w:val="28"/>
          <w:szCs w:val="28"/>
        </w:rPr>
        <w:t xml:space="preserve"> </w:t>
      </w:r>
      <w:r w:rsidR="001575F1">
        <w:rPr>
          <w:sz w:val="28"/>
          <w:szCs w:val="28"/>
        </w:rPr>
        <w:t>(</w:t>
      </w:r>
      <w:proofErr w:type="spellStart"/>
      <w:r w:rsidR="001575F1">
        <w:rPr>
          <w:sz w:val="28"/>
          <w:szCs w:val="28"/>
        </w:rPr>
        <w:t>patentbrīvās</w:t>
      </w:r>
      <w:proofErr w:type="spellEnd"/>
      <w:r w:rsidR="001575F1">
        <w:rPr>
          <w:sz w:val="28"/>
          <w:szCs w:val="28"/>
        </w:rPr>
        <w:t xml:space="preserve">) </w:t>
      </w:r>
      <w:r w:rsidRPr="00DE47FB">
        <w:rPr>
          <w:sz w:val="28"/>
          <w:szCs w:val="28"/>
        </w:rPr>
        <w:t xml:space="preserve">zāles ir oriģinālo </w:t>
      </w:r>
      <w:r w:rsidR="001575F1">
        <w:rPr>
          <w:sz w:val="28"/>
          <w:szCs w:val="28"/>
        </w:rPr>
        <w:t>zāļu</w:t>
      </w:r>
      <w:r w:rsidRPr="00DE47FB">
        <w:rPr>
          <w:sz w:val="28"/>
          <w:szCs w:val="28"/>
        </w:rPr>
        <w:t xml:space="preserve"> ekvivalenti, kas var parādīties tirgū, tiklīdz beidzies patents oriģinālajiem preparātiem. Šo </w:t>
      </w:r>
      <w:r w:rsidR="001575F1">
        <w:rPr>
          <w:sz w:val="28"/>
          <w:szCs w:val="28"/>
        </w:rPr>
        <w:t>zāļu</w:t>
      </w:r>
      <w:r w:rsidRPr="00DE47FB">
        <w:rPr>
          <w:sz w:val="28"/>
          <w:szCs w:val="28"/>
        </w:rPr>
        <w:t xml:space="preserve"> sastāvā ir tā pati aktīvā viela, kas ir oriģinālajos preparātos, tāpēc to terapeitiskā efektivitāte ir līdzvērtīga oriģinālaj</w:t>
      </w:r>
      <w:r w:rsidR="0093728C">
        <w:rPr>
          <w:sz w:val="28"/>
          <w:szCs w:val="28"/>
        </w:rPr>
        <w:t>ām zālēm</w:t>
      </w:r>
      <w:r w:rsidRPr="00DE47FB">
        <w:rPr>
          <w:sz w:val="28"/>
          <w:szCs w:val="28"/>
        </w:rPr>
        <w:t xml:space="preserve">. </w:t>
      </w:r>
      <w:proofErr w:type="spellStart"/>
      <w:r w:rsidRPr="00DE47FB">
        <w:rPr>
          <w:sz w:val="28"/>
          <w:szCs w:val="28"/>
        </w:rPr>
        <w:t>Ģenērisk</w:t>
      </w:r>
      <w:r w:rsidR="0093728C">
        <w:rPr>
          <w:sz w:val="28"/>
          <w:szCs w:val="28"/>
        </w:rPr>
        <w:t>ās</w:t>
      </w:r>
      <w:proofErr w:type="spellEnd"/>
      <w:r w:rsidRPr="00DE47FB">
        <w:rPr>
          <w:sz w:val="28"/>
          <w:szCs w:val="28"/>
        </w:rPr>
        <w:t xml:space="preserve"> </w:t>
      </w:r>
      <w:r w:rsidR="0093728C">
        <w:rPr>
          <w:sz w:val="28"/>
          <w:szCs w:val="28"/>
        </w:rPr>
        <w:t>zāles</w:t>
      </w:r>
      <w:r w:rsidRPr="00DE47FB">
        <w:rPr>
          <w:sz w:val="28"/>
          <w:szCs w:val="28"/>
        </w:rPr>
        <w:t xml:space="preserve"> atbilst tādām pašām kvalitātes, drošības un efektivitātes prasībām kā oriģināl</w:t>
      </w:r>
      <w:r w:rsidR="0093728C">
        <w:rPr>
          <w:sz w:val="28"/>
          <w:szCs w:val="28"/>
        </w:rPr>
        <w:t>ās zāles</w:t>
      </w:r>
      <w:r w:rsidRPr="00DE47FB">
        <w:rPr>
          <w:sz w:val="28"/>
          <w:szCs w:val="28"/>
        </w:rPr>
        <w:t xml:space="preserve">. Tajā pašā laikā </w:t>
      </w:r>
      <w:proofErr w:type="spellStart"/>
      <w:r w:rsidRPr="00DE47FB">
        <w:rPr>
          <w:sz w:val="28"/>
          <w:szCs w:val="28"/>
        </w:rPr>
        <w:t>ģenērisk</w:t>
      </w:r>
      <w:r w:rsidR="0093728C">
        <w:rPr>
          <w:sz w:val="28"/>
          <w:szCs w:val="28"/>
        </w:rPr>
        <w:t>o</w:t>
      </w:r>
      <w:proofErr w:type="spellEnd"/>
      <w:r w:rsidR="0093728C">
        <w:rPr>
          <w:sz w:val="28"/>
          <w:szCs w:val="28"/>
        </w:rPr>
        <w:t xml:space="preserve"> zāļu</w:t>
      </w:r>
      <w:r w:rsidRPr="00DE47FB">
        <w:rPr>
          <w:sz w:val="28"/>
          <w:szCs w:val="28"/>
        </w:rPr>
        <w:t xml:space="preserve"> cena ir par 20% līdz 90% zemāka par oriģinālo </w:t>
      </w:r>
      <w:r w:rsidR="0093728C">
        <w:rPr>
          <w:sz w:val="28"/>
          <w:szCs w:val="28"/>
        </w:rPr>
        <w:t>zāļu</w:t>
      </w:r>
      <w:r w:rsidRPr="00DE47FB">
        <w:rPr>
          <w:sz w:val="28"/>
          <w:szCs w:val="28"/>
        </w:rPr>
        <w:t xml:space="preserve"> cenu, jo </w:t>
      </w:r>
      <w:r w:rsidR="0093728C">
        <w:rPr>
          <w:sz w:val="28"/>
          <w:szCs w:val="28"/>
        </w:rPr>
        <w:t>to</w:t>
      </w:r>
      <w:r w:rsidRPr="00DE47FB">
        <w:rPr>
          <w:sz w:val="28"/>
          <w:szCs w:val="28"/>
        </w:rPr>
        <w:t xml:space="preserve"> ražotājiem nav nepieciešams tērēt naudu atkārtotu klīnisko pētījumu veikšanai to pašu aktīvo vielu saturošu </w:t>
      </w:r>
      <w:r w:rsidR="0093728C">
        <w:rPr>
          <w:sz w:val="28"/>
          <w:szCs w:val="28"/>
        </w:rPr>
        <w:t>zāļu</w:t>
      </w:r>
      <w:r w:rsidRPr="00DE47FB">
        <w:rPr>
          <w:sz w:val="28"/>
          <w:szCs w:val="28"/>
        </w:rPr>
        <w:t xml:space="preserve"> drošuma un efektivitātes pierādīšanai. Līdz ar to, lietojot </w:t>
      </w:r>
      <w:proofErr w:type="spellStart"/>
      <w:r w:rsidRPr="00DE47FB">
        <w:rPr>
          <w:sz w:val="28"/>
          <w:szCs w:val="28"/>
        </w:rPr>
        <w:t>ģenērisk</w:t>
      </w:r>
      <w:r w:rsidR="0093728C">
        <w:rPr>
          <w:sz w:val="28"/>
          <w:szCs w:val="28"/>
        </w:rPr>
        <w:t>ās</w:t>
      </w:r>
      <w:proofErr w:type="spellEnd"/>
      <w:r w:rsidRPr="00DE47FB">
        <w:rPr>
          <w:sz w:val="28"/>
          <w:szCs w:val="28"/>
        </w:rPr>
        <w:t xml:space="preserve"> </w:t>
      </w:r>
      <w:r w:rsidR="0093728C">
        <w:rPr>
          <w:sz w:val="28"/>
          <w:szCs w:val="28"/>
        </w:rPr>
        <w:t>zāles</w:t>
      </w:r>
      <w:r w:rsidRPr="00DE47FB">
        <w:rPr>
          <w:sz w:val="28"/>
          <w:szCs w:val="28"/>
        </w:rPr>
        <w:t>, iespējams būtiski ietaupīt gan pacientu, gan valsts</w:t>
      </w:r>
      <w:r w:rsidR="0093728C">
        <w:rPr>
          <w:sz w:val="28"/>
          <w:szCs w:val="28"/>
        </w:rPr>
        <w:t xml:space="preserve"> izdevumus</w:t>
      </w:r>
      <w:r w:rsidRPr="00DE47FB">
        <w:rPr>
          <w:sz w:val="28"/>
          <w:szCs w:val="28"/>
        </w:rPr>
        <w:t xml:space="preserve">, vienlaikus nodrošinot pacientiem tikpat efektīvu un kvalitatīvu ārstēšanu kā dārgākie oriģinālie preparāti. </w:t>
      </w:r>
    </w:p>
    <w:p w:rsidR="00DE47FB" w:rsidRPr="00DE47FB" w:rsidRDefault="00952D49" w:rsidP="00DE47FB">
      <w:pPr>
        <w:autoSpaceDE w:val="0"/>
        <w:autoSpaceDN w:val="0"/>
        <w:adjustRightInd w:val="0"/>
        <w:ind w:firstLine="720"/>
        <w:jc w:val="both"/>
        <w:rPr>
          <w:sz w:val="28"/>
          <w:szCs w:val="28"/>
        </w:rPr>
      </w:pPr>
      <w:r w:rsidRPr="00952D49">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98" type="#_x0000_t75" style="position:absolute;left:0;text-align:left;margin-left:44.2pt;margin-top:59.15pt;width:354.95pt;height:207pt;z-index:251658240">
            <v:imagedata r:id="rId8" o:title=""/>
          </v:shape>
          <o:OLEObject Type="Embed" ProgID="Excel.Sheet.12" ShapeID="Object 3" DrawAspect="Content" ObjectID="_1383042529" r:id="rId9"/>
        </w:pict>
      </w:r>
      <w:r w:rsidR="00DE47FB" w:rsidRPr="00DE47FB">
        <w:rPr>
          <w:sz w:val="28"/>
          <w:szCs w:val="28"/>
        </w:rPr>
        <w:t xml:space="preserve">Latvijā zāļu iegādes kompensācijas sistēmā </w:t>
      </w:r>
      <w:proofErr w:type="spellStart"/>
      <w:r w:rsidR="00DE47FB" w:rsidRPr="00DE47FB">
        <w:rPr>
          <w:sz w:val="28"/>
          <w:szCs w:val="28"/>
        </w:rPr>
        <w:t>ģenērisko</w:t>
      </w:r>
      <w:proofErr w:type="spellEnd"/>
      <w:r w:rsidR="00DE47FB" w:rsidRPr="00DE47FB">
        <w:rPr>
          <w:sz w:val="28"/>
          <w:szCs w:val="28"/>
        </w:rPr>
        <w:t xml:space="preserve"> zāļu īpatsvaram ir tendence ik gadu palielināties. Par to liecina Kompensējamo zāļu A saraksta dati, kurā iekļautas līdzvērtīgas terapeitiskās efektivitātes </w:t>
      </w:r>
      <w:proofErr w:type="spellStart"/>
      <w:r w:rsidR="00DE47FB" w:rsidRPr="00DE47FB">
        <w:rPr>
          <w:sz w:val="28"/>
          <w:szCs w:val="28"/>
        </w:rPr>
        <w:t>ģenēriskās</w:t>
      </w:r>
      <w:proofErr w:type="spellEnd"/>
      <w:r w:rsidR="00DE47FB" w:rsidRPr="00DE47FB">
        <w:rPr>
          <w:sz w:val="28"/>
          <w:szCs w:val="28"/>
        </w:rPr>
        <w:t xml:space="preserve"> zāles (1. att.).</w:t>
      </w: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Default="00DE47FB" w:rsidP="006E6ECC">
      <w:pPr>
        <w:autoSpaceDE w:val="0"/>
        <w:autoSpaceDN w:val="0"/>
        <w:adjustRightInd w:val="0"/>
        <w:jc w:val="both"/>
        <w:rPr>
          <w:sz w:val="28"/>
          <w:szCs w:val="28"/>
        </w:rPr>
      </w:pPr>
    </w:p>
    <w:p w:rsidR="006E6ECC" w:rsidRDefault="006E6ECC" w:rsidP="006E6ECC">
      <w:pPr>
        <w:autoSpaceDE w:val="0"/>
        <w:autoSpaceDN w:val="0"/>
        <w:adjustRightInd w:val="0"/>
        <w:jc w:val="both"/>
        <w:rPr>
          <w:sz w:val="28"/>
          <w:szCs w:val="28"/>
        </w:rPr>
      </w:pPr>
    </w:p>
    <w:p w:rsidR="006E6ECC" w:rsidRDefault="006E6ECC" w:rsidP="006E6ECC">
      <w:pPr>
        <w:autoSpaceDE w:val="0"/>
        <w:autoSpaceDN w:val="0"/>
        <w:adjustRightInd w:val="0"/>
        <w:jc w:val="both"/>
        <w:rPr>
          <w:sz w:val="28"/>
          <w:szCs w:val="28"/>
        </w:rPr>
      </w:pPr>
    </w:p>
    <w:p w:rsidR="0093728C" w:rsidRPr="00DE47FB" w:rsidRDefault="0093728C" w:rsidP="006E6ECC">
      <w:pPr>
        <w:autoSpaceDE w:val="0"/>
        <w:autoSpaceDN w:val="0"/>
        <w:adjustRightInd w:val="0"/>
        <w:jc w:val="both"/>
        <w:rPr>
          <w:sz w:val="28"/>
          <w:szCs w:val="28"/>
        </w:rPr>
      </w:pPr>
    </w:p>
    <w:p w:rsidR="00DE47FB" w:rsidRPr="00DE47FB" w:rsidRDefault="006E6ECC" w:rsidP="00DE47FB">
      <w:pPr>
        <w:numPr>
          <w:ilvl w:val="0"/>
          <w:numId w:val="25"/>
        </w:numPr>
        <w:autoSpaceDE w:val="0"/>
        <w:autoSpaceDN w:val="0"/>
        <w:adjustRightInd w:val="0"/>
        <w:jc w:val="both"/>
        <w:rPr>
          <w:sz w:val="28"/>
          <w:szCs w:val="28"/>
        </w:rPr>
      </w:pPr>
      <w:r>
        <w:rPr>
          <w:sz w:val="28"/>
          <w:szCs w:val="28"/>
        </w:rPr>
        <w:t>a</w:t>
      </w:r>
      <w:r w:rsidR="00DE47FB" w:rsidRPr="00DE47FB">
        <w:rPr>
          <w:sz w:val="28"/>
          <w:szCs w:val="28"/>
        </w:rPr>
        <w:t>ttēls</w:t>
      </w:r>
      <w:r>
        <w:rPr>
          <w:sz w:val="28"/>
          <w:szCs w:val="28"/>
        </w:rPr>
        <w:t>.</w:t>
      </w:r>
      <w:r w:rsidR="00DE47FB" w:rsidRPr="00DE47FB">
        <w:rPr>
          <w:sz w:val="28"/>
          <w:szCs w:val="28"/>
        </w:rPr>
        <w:t xml:space="preserve"> Zāļu skaits A, B un C sarakstā</w:t>
      </w:r>
    </w:p>
    <w:p w:rsidR="00DE47FB" w:rsidRPr="00DE47FB" w:rsidRDefault="00DE47FB" w:rsidP="00DE47FB">
      <w:pPr>
        <w:autoSpaceDE w:val="0"/>
        <w:autoSpaceDN w:val="0"/>
        <w:adjustRightInd w:val="0"/>
        <w:ind w:left="1080"/>
        <w:jc w:val="both"/>
        <w:rPr>
          <w:sz w:val="28"/>
          <w:szCs w:val="28"/>
        </w:rPr>
      </w:pPr>
    </w:p>
    <w:p w:rsidR="00DE47FB" w:rsidRPr="00DE47FB" w:rsidRDefault="00DE47FB" w:rsidP="00DE47FB">
      <w:pPr>
        <w:autoSpaceDE w:val="0"/>
        <w:autoSpaceDN w:val="0"/>
        <w:adjustRightInd w:val="0"/>
        <w:ind w:firstLine="720"/>
        <w:jc w:val="both"/>
        <w:rPr>
          <w:sz w:val="28"/>
          <w:szCs w:val="28"/>
        </w:rPr>
      </w:pPr>
      <w:r w:rsidRPr="00DE47FB">
        <w:rPr>
          <w:sz w:val="28"/>
          <w:szCs w:val="28"/>
        </w:rPr>
        <w:t xml:space="preserve">Palielinoties </w:t>
      </w:r>
      <w:proofErr w:type="spellStart"/>
      <w:r w:rsidRPr="00DE47FB">
        <w:rPr>
          <w:sz w:val="28"/>
          <w:szCs w:val="28"/>
        </w:rPr>
        <w:t>ģenērisko</w:t>
      </w:r>
      <w:proofErr w:type="spellEnd"/>
      <w:r w:rsidRPr="00DE47FB">
        <w:rPr>
          <w:sz w:val="28"/>
          <w:szCs w:val="28"/>
        </w:rPr>
        <w:t xml:space="preserve"> zāļu īpatsv</w:t>
      </w:r>
      <w:r w:rsidR="0093728C">
        <w:rPr>
          <w:sz w:val="28"/>
          <w:szCs w:val="28"/>
        </w:rPr>
        <w:t>aram Kompensējamo zāļu sarakstā</w:t>
      </w:r>
      <w:r w:rsidR="004852EE">
        <w:rPr>
          <w:sz w:val="28"/>
          <w:szCs w:val="28"/>
        </w:rPr>
        <w:t xml:space="preserve"> (turpmāk – KZS)</w:t>
      </w:r>
      <w:r w:rsidRPr="00DE47FB">
        <w:rPr>
          <w:sz w:val="28"/>
          <w:szCs w:val="28"/>
        </w:rPr>
        <w:t xml:space="preserve">, tiek sekmēta šo zāļu konkurence, samazinot A saraksta zāļu lietošanas izmaksas, arī pacienta </w:t>
      </w:r>
      <w:proofErr w:type="spellStart"/>
      <w:r w:rsidRPr="00DE47FB">
        <w:rPr>
          <w:sz w:val="28"/>
          <w:szCs w:val="28"/>
        </w:rPr>
        <w:t>līdzmaksājuma</w:t>
      </w:r>
      <w:proofErr w:type="spellEnd"/>
      <w:r w:rsidRPr="00DE47FB">
        <w:rPr>
          <w:sz w:val="28"/>
          <w:szCs w:val="28"/>
        </w:rPr>
        <w:t xml:space="preserve"> daļu. Pacientu </w:t>
      </w:r>
      <w:proofErr w:type="spellStart"/>
      <w:r w:rsidRPr="00DE47FB">
        <w:rPr>
          <w:sz w:val="28"/>
          <w:szCs w:val="28"/>
        </w:rPr>
        <w:t>līdzmaksājuma</w:t>
      </w:r>
      <w:proofErr w:type="spellEnd"/>
      <w:r w:rsidRPr="00DE47FB">
        <w:rPr>
          <w:sz w:val="28"/>
          <w:szCs w:val="28"/>
        </w:rPr>
        <w:t xml:space="preserve"> daļas ievērojams pieaugums 2009. gadā skaidrojams ar kompensācijas apmēra samazināšanu no 75% uz 50%. Tomēr 2010. gadā V</w:t>
      </w:r>
      <w:r w:rsidR="0093728C">
        <w:rPr>
          <w:sz w:val="28"/>
          <w:szCs w:val="28"/>
        </w:rPr>
        <w:t>eselības ekonomikas centr</w:t>
      </w:r>
      <w:r w:rsidR="00C6065B">
        <w:rPr>
          <w:sz w:val="28"/>
          <w:szCs w:val="28"/>
        </w:rPr>
        <w:t>am</w:t>
      </w:r>
      <w:r w:rsidRPr="00DE47FB">
        <w:rPr>
          <w:sz w:val="28"/>
          <w:szCs w:val="28"/>
        </w:rPr>
        <w:t xml:space="preserve">, veicot izmaksu samazināšanas pasākumus (iekļaujot </w:t>
      </w:r>
      <w:r w:rsidR="004852EE">
        <w:rPr>
          <w:sz w:val="28"/>
          <w:szCs w:val="28"/>
        </w:rPr>
        <w:t>KZS</w:t>
      </w:r>
      <w:r w:rsidRPr="00DE47FB">
        <w:rPr>
          <w:sz w:val="28"/>
          <w:szCs w:val="28"/>
        </w:rPr>
        <w:t xml:space="preserve"> lētākas </w:t>
      </w:r>
      <w:proofErr w:type="spellStart"/>
      <w:r w:rsidRPr="00DE47FB">
        <w:rPr>
          <w:sz w:val="28"/>
          <w:szCs w:val="28"/>
        </w:rPr>
        <w:t>ģenēriskās</w:t>
      </w:r>
      <w:proofErr w:type="spellEnd"/>
      <w:r w:rsidRPr="00DE47FB">
        <w:rPr>
          <w:sz w:val="28"/>
          <w:szCs w:val="28"/>
        </w:rPr>
        <w:t xml:space="preserve"> zāles, samazinot jau iekļautu zāļu cenas, veicot kompensējamo zāļu cenu salīdzināšanu ar cenām citās ES valstīs), </w:t>
      </w:r>
      <w:r w:rsidR="00C6065B">
        <w:rPr>
          <w:sz w:val="28"/>
          <w:szCs w:val="28"/>
        </w:rPr>
        <w:t xml:space="preserve">tika </w:t>
      </w:r>
      <w:r w:rsidRPr="00DE47FB">
        <w:rPr>
          <w:sz w:val="28"/>
          <w:szCs w:val="28"/>
        </w:rPr>
        <w:t xml:space="preserve">panākts obligātās pacientu </w:t>
      </w:r>
      <w:proofErr w:type="spellStart"/>
      <w:r w:rsidRPr="00DE47FB">
        <w:rPr>
          <w:sz w:val="28"/>
          <w:szCs w:val="28"/>
        </w:rPr>
        <w:t>līdzmaksājuma</w:t>
      </w:r>
      <w:proofErr w:type="spellEnd"/>
      <w:r w:rsidRPr="00DE47FB">
        <w:rPr>
          <w:sz w:val="28"/>
          <w:szCs w:val="28"/>
        </w:rPr>
        <w:t xml:space="preserve"> daļas samazinājums (iegādājoties zāles vai medicīniskās ierīces, kur valsts noteiktais kompensācijas apmērs ir 50% vai 75%). Tomēr saglabājas tendence palielināties tai pacientu </w:t>
      </w:r>
      <w:proofErr w:type="spellStart"/>
      <w:r w:rsidRPr="00DE47FB">
        <w:rPr>
          <w:sz w:val="28"/>
          <w:szCs w:val="28"/>
        </w:rPr>
        <w:t>līdzmaksājuma</w:t>
      </w:r>
      <w:proofErr w:type="spellEnd"/>
      <w:r w:rsidRPr="00DE47FB">
        <w:rPr>
          <w:sz w:val="28"/>
          <w:szCs w:val="28"/>
        </w:rPr>
        <w:t xml:space="preserve"> daļai, ko pacienti samaksā, iegādājoties dārgākās </w:t>
      </w:r>
      <w:proofErr w:type="spellStart"/>
      <w:r w:rsidRPr="00DE47FB">
        <w:rPr>
          <w:sz w:val="28"/>
          <w:szCs w:val="28"/>
        </w:rPr>
        <w:t>nereferences</w:t>
      </w:r>
      <w:proofErr w:type="spellEnd"/>
      <w:r w:rsidRPr="00DE47FB">
        <w:rPr>
          <w:sz w:val="28"/>
          <w:szCs w:val="28"/>
        </w:rPr>
        <w:t xml:space="preserve"> zāles. 2010. gadā saskaņā ar Veselības norēķinu centra datiem šis skaitlis pārsniedza 9 miljonus latu (2. att.). </w:t>
      </w:r>
    </w:p>
    <w:p w:rsidR="00DE47FB" w:rsidRPr="00DE47FB" w:rsidRDefault="00DE2DB0" w:rsidP="00DE47FB">
      <w:pPr>
        <w:autoSpaceDE w:val="0"/>
        <w:autoSpaceDN w:val="0"/>
        <w:adjustRightInd w:val="0"/>
        <w:ind w:firstLine="720"/>
        <w:jc w:val="both"/>
        <w:rPr>
          <w:sz w:val="28"/>
          <w:szCs w:val="28"/>
        </w:rPr>
      </w:pPr>
      <w:r>
        <w:rPr>
          <w:noProof/>
          <w:sz w:val="28"/>
          <w:szCs w:val="28"/>
          <w:lang w:eastAsia="lv-LV"/>
        </w:rPr>
        <w:drawing>
          <wp:anchor distT="0" distB="0" distL="114300" distR="114300" simplePos="0" relativeHeight="251657216" behindDoc="0" locked="0" layoutInCell="1" allowOverlap="1">
            <wp:simplePos x="0" y="0"/>
            <wp:positionH relativeFrom="column">
              <wp:posOffset>106045</wp:posOffset>
            </wp:positionH>
            <wp:positionV relativeFrom="paragraph">
              <wp:posOffset>142875</wp:posOffset>
            </wp:positionV>
            <wp:extent cx="3687445" cy="30162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srcRect/>
                    <a:stretch>
                      <a:fillRect/>
                    </a:stretch>
                  </pic:blipFill>
                  <pic:spPr bwMode="auto">
                    <a:xfrm>
                      <a:off x="0" y="0"/>
                      <a:ext cx="3687445" cy="3016250"/>
                    </a:xfrm>
                    <a:prstGeom prst="rect">
                      <a:avLst/>
                    </a:prstGeom>
                    <a:noFill/>
                    <a:ln w="9525">
                      <a:noFill/>
                      <a:miter lim="800000"/>
                      <a:headEnd/>
                      <a:tailEnd/>
                    </a:ln>
                  </pic:spPr>
                </pic:pic>
              </a:graphicData>
            </a:graphic>
          </wp:anchor>
        </w:drawing>
      </w: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6C797C">
      <w:pPr>
        <w:autoSpaceDE w:val="0"/>
        <w:autoSpaceDN w:val="0"/>
        <w:adjustRightInd w:val="0"/>
        <w:jc w:val="both"/>
        <w:rPr>
          <w:sz w:val="28"/>
          <w:szCs w:val="28"/>
        </w:rPr>
      </w:pPr>
    </w:p>
    <w:p w:rsidR="00DE47FB" w:rsidRPr="00DE47FB" w:rsidRDefault="00DE47FB" w:rsidP="00DE47FB">
      <w:pPr>
        <w:numPr>
          <w:ilvl w:val="0"/>
          <w:numId w:val="25"/>
        </w:numPr>
        <w:autoSpaceDE w:val="0"/>
        <w:autoSpaceDN w:val="0"/>
        <w:adjustRightInd w:val="0"/>
        <w:jc w:val="both"/>
        <w:rPr>
          <w:sz w:val="28"/>
          <w:szCs w:val="28"/>
        </w:rPr>
      </w:pPr>
      <w:r w:rsidRPr="00DE47FB">
        <w:rPr>
          <w:sz w:val="28"/>
          <w:szCs w:val="28"/>
        </w:rPr>
        <w:t xml:space="preserve">attēls. Pacientu </w:t>
      </w:r>
      <w:proofErr w:type="spellStart"/>
      <w:r w:rsidRPr="00DE47FB">
        <w:rPr>
          <w:sz w:val="28"/>
          <w:szCs w:val="28"/>
        </w:rPr>
        <w:t>līdzmaksājuma</w:t>
      </w:r>
      <w:proofErr w:type="spellEnd"/>
      <w:r w:rsidRPr="00DE47FB">
        <w:rPr>
          <w:sz w:val="28"/>
          <w:szCs w:val="28"/>
        </w:rPr>
        <w:t xml:space="preserve"> daļas sadalījums</w:t>
      </w: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CA7392">
      <w:pPr>
        <w:autoSpaceDE w:val="0"/>
        <w:autoSpaceDN w:val="0"/>
        <w:adjustRightInd w:val="0"/>
        <w:ind w:firstLine="720"/>
        <w:jc w:val="both"/>
        <w:rPr>
          <w:sz w:val="28"/>
          <w:szCs w:val="28"/>
        </w:rPr>
      </w:pPr>
      <w:r w:rsidRPr="00DE47FB">
        <w:rPr>
          <w:sz w:val="28"/>
          <w:szCs w:val="28"/>
        </w:rPr>
        <w:t xml:space="preserve">Līdz ar to, lai racionalizētu valsts budžeta izlietojumu un mazinātu pacientu izdevumus zāļu iegādei, sekmējot zāļu konkurenci zemākas cenas noteikšanai, 2011. gada 19. oktobrī </w:t>
      </w:r>
      <w:r w:rsidR="006C797C">
        <w:rPr>
          <w:sz w:val="28"/>
          <w:szCs w:val="28"/>
        </w:rPr>
        <w:t>ir pieņemti</w:t>
      </w:r>
      <w:r w:rsidRPr="00DE47FB">
        <w:rPr>
          <w:sz w:val="28"/>
          <w:szCs w:val="28"/>
        </w:rPr>
        <w:t xml:space="preserve"> M</w:t>
      </w:r>
      <w:r w:rsidR="006C797C">
        <w:rPr>
          <w:sz w:val="28"/>
          <w:szCs w:val="28"/>
        </w:rPr>
        <w:t>inistru kabineta</w:t>
      </w:r>
      <w:r w:rsidRPr="00DE47FB">
        <w:rPr>
          <w:sz w:val="28"/>
          <w:szCs w:val="28"/>
        </w:rPr>
        <w:t xml:space="preserve"> noteikumi Nr.821 „Grozījumi Ministru kabineta 2006. gada 31. oktobra noteikumos Nr.899 „Ambulatorajai ārstēšanai paredzēto zāļu un medicīnisko ierīču iegādes izdevumu kompensācijas kārtība”</w:t>
      </w:r>
      <w:r w:rsidR="00CA7392">
        <w:rPr>
          <w:sz w:val="28"/>
          <w:szCs w:val="28"/>
        </w:rPr>
        <w:t>”</w:t>
      </w:r>
      <w:r w:rsidR="007D2D3D">
        <w:rPr>
          <w:sz w:val="28"/>
          <w:szCs w:val="28"/>
        </w:rPr>
        <w:t xml:space="preserve"> (turpmāk – noteikumi Nr.899)</w:t>
      </w:r>
      <w:r w:rsidRPr="00DE47FB">
        <w:rPr>
          <w:sz w:val="28"/>
          <w:szCs w:val="28"/>
        </w:rPr>
        <w:t xml:space="preserve">, ar kuriem cita starpā noteikts, ka „References cena var būt tikai vienām references grupā iekļautajām zālēm vai medicīniskajai ierīcei” (1.4. apakšpunkts). Savukārt iesniedzējiem ir tiesības </w:t>
      </w:r>
      <w:r w:rsidR="006C797C">
        <w:rPr>
          <w:sz w:val="28"/>
          <w:szCs w:val="28"/>
        </w:rPr>
        <w:t>septiņu darb</w:t>
      </w:r>
      <w:r w:rsidRPr="00DE47FB">
        <w:rPr>
          <w:sz w:val="28"/>
          <w:szCs w:val="28"/>
        </w:rPr>
        <w:t xml:space="preserve">dienu laikā atkārtoti iesniegt iesniegumus kompensācijas bāzes cenas pazemināšanai zem zemākās attiecīgās references grupas </w:t>
      </w:r>
      <w:r w:rsidR="006C797C">
        <w:rPr>
          <w:sz w:val="28"/>
          <w:szCs w:val="28"/>
        </w:rPr>
        <w:t>p</w:t>
      </w:r>
      <w:r w:rsidRPr="00DE47FB">
        <w:rPr>
          <w:sz w:val="28"/>
          <w:szCs w:val="28"/>
        </w:rPr>
        <w:t>iedāvātās cenas atbilstoši</w:t>
      </w:r>
      <w:r w:rsidR="007D2D3D">
        <w:rPr>
          <w:sz w:val="28"/>
          <w:szCs w:val="28"/>
        </w:rPr>
        <w:t xml:space="preserve"> noteikumu Nr.899</w:t>
      </w:r>
      <w:r w:rsidRPr="00DE47FB">
        <w:rPr>
          <w:sz w:val="28"/>
          <w:szCs w:val="28"/>
        </w:rPr>
        <w:t xml:space="preserve"> 38.</w:t>
      </w:r>
      <w:r w:rsidRPr="00DE47FB">
        <w:rPr>
          <w:sz w:val="28"/>
          <w:szCs w:val="28"/>
          <w:vertAlign w:val="superscript"/>
        </w:rPr>
        <w:t>2</w:t>
      </w:r>
      <w:r w:rsidRPr="00DE47FB">
        <w:rPr>
          <w:sz w:val="28"/>
          <w:szCs w:val="28"/>
        </w:rPr>
        <w:t xml:space="preserve"> punktā minētajam apmēram. Ja Nacionālais veselības dienests, apkopojot informāciju par jauno </w:t>
      </w:r>
      <w:r w:rsidRPr="00DE47FB">
        <w:rPr>
          <w:sz w:val="28"/>
          <w:szCs w:val="28"/>
        </w:rPr>
        <w:lastRenderedPageBreak/>
        <w:t>piedāvāto cenu, konstatē, ka vairāku iesniedzēju piedāvātā zemākā attiecīgās references grupas cena ir vienāda, attiecīgajiem iesniedzējiem tiek piedāvāts atkārtoti samazināt piedāvāto cenu (62.</w:t>
      </w:r>
      <w:r w:rsidRPr="00DE47FB">
        <w:rPr>
          <w:sz w:val="28"/>
          <w:szCs w:val="28"/>
          <w:vertAlign w:val="superscript"/>
        </w:rPr>
        <w:t>2</w:t>
      </w:r>
      <w:r w:rsidRPr="00DE47FB">
        <w:rPr>
          <w:sz w:val="28"/>
          <w:szCs w:val="28"/>
        </w:rPr>
        <w:t xml:space="preserve"> punkts).</w:t>
      </w:r>
    </w:p>
    <w:p w:rsidR="00DE47FB" w:rsidRDefault="00DE47FB" w:rsidP="00CA7392">
      <w:pPr>
        <w:autoSpaceDE w:val="0"/>
        <w:autoSpaceDN w:val="0"/>
        <w:adjustRightInd w:val="0"/>
        <w:ind w:firstLine="720"/>
        <w:jc w:val="both"/>
        <w:rPr>
          <w:sz w:val="28"/>
          <w:szCs w:val="28"/>
        </w:rPr>
      </w:pPr>
      <w:r w:rsidRPr="00DE47FB">
        <w:rPr>
          <w:sz w:val="28"/>
          <w:szCs w:val="28"/>
        </w:rPr>
        <w:t>Nodrošinot augstāk minēto normu izpildi:</w:t>
      </w:r>
    </w:p>
    <w:p w:rsidR="00CA7392" w:rsidRPr="00DE47FB" w:rsidRDefault="00CA7392" w:rsidP="00CA7392">
      <w:pPr>
        <w:autoSpaceDE w:val="0"/>
        <w:autoSpaceDN w:val="0"/>
        <w:adjustRightInd w:val="0"/>
        <w:ind w:firstLine="720"/>
        <w:jc w:val="both"/>
        <w:rPr>
          <w:sz w:val="28"/>
          <w:szCs w:val="28"/>
        </w:rPr>
      </w:pPr>
    </w:p>
    <w:p w:rsidR="00DE47FB" w:rsidRPr="00DE47FB" w:rsidRDefault="00DE47FB" w:rsidP="00DE47FB">
      <w:pPr>
        <w:numPr>
          <w:ilvl w:val="0"/>
          <w:numId w:val="23"/>
        </w:numPr>
        <w:autoSpaceDE w:val="0"/>
        <w:autoSpaceDN w:val="0"/>
        <w:adjustRightInd w:val="0"/>
        <w:jc w:val="both"/>
        <w:rPr>
          <w:sz w:val="28"/>
          <w:szCs w:val="28"/>
        </w:rPr>
      </w:pPr>
      <w:r w:rsidRPr="00DE47FB">
        <w:rPr>
          <w:sz w:val="28"/>
          <w:szCs w:val="28"/>
        </w:rPr>
        <w:t>tiek samazinātas kompensējamo zāļu un medicīnisko ierīču sarakstā iekļauto zāļu cenas;</w:t>
      </w:r>
    </w:p>
    <w:p w:rsidR="00DE47FB" w:rsidRPr="00DE47FB" w:rsidRDefault="00DE47FB" w:rsidP="00DE47FB">
      <w:pPr>
        <w:numPr>
          <w:ilvl w:val="0"/>
          <w:numId w:val="23"/>
        </w:numPr>
        <w:autoSpaceDE w:val="0"/>
        <w:autoSpaceDN w:val="0"/>
        <w:adjustRightInd w:val="0"/>
        <w:jc w:val="both"/>
        <w:rPr>
          <w:sz w:val="28"/>
          <w:szCs w:val="28"/>
        </w:rPr>
      </w:pPr>
      <w:r w:rsidRPr="00DE47FB">
        <w:rPr>
          <w:sz w:val="28"/>
          <w:szCs w:val="28"/>
        </w:rPr>
        <w:t xml:space="preserve">tiek samazināta pacienta </w:t>
      </w:r>
      <w:proofErr w:type="spellStart"/>
      <w:r w:rsidRPr="00DE47FB">
        <w:rPr>
          <w:sz w:val="28"/>
          <w:szCs w:val="28"/>
        </w:rPr>
        <w:t>līdzmaksājuma</w:t>
      </w:r>
      <w:proofErr w:type="spellEnd"/>
      <w:r w:rsidRPr="00DE47FB">
        <w:rPr>
          <w:sz w:val="28"/>
          <w:szCs w:val="28"/>
        </w:rPr>
        <w:t xml:space="preserve"> daļa, ja zāļu vai medicīnisko ierīču kompensācija tiek veikta 50% vai 75% apmērā;</w:t>
      </w:r>
    </w:p>
    <w:p w:rsidR="00DE47FB" w:rsidRPr="00DE47FB" w:rsidRDefault="00DE47FB" w:rsidP="00DE47FB">
      <w:pPr>
        <w:numPr>
          <w:ilvl w:val="0"/>
          <w:numId w:val="23"/>
        </w:numPr>
        <w:autoSpaceDE w:val="0"/>
        <w:autoSpaceDN w:val="0"/>
        <w:adjustRightInd w:val="0"/>
        <w:jc w:val="both"/>
        <w:rPr>
          <w:sz w:val="28"/>
          <w:szCs w:val="28"/>
        </w:rPr>
      </w:pPr>
      <w:r w:rsidRPr="00DE47FB">
        <w:rPr>
          <w:sz w:val="28"/>
          <w:szCs w:val="28"/>
        </w:rPr>
        <w:t>lētākā medikamenta ražotājam vismaz pusgadu tiks garantēts noiets, kas attaisnos sakarā ar cenas samazināšanu neiegūto peļņu;</w:t>
      </w:r>
    </w:p>
    <w:p w:rsidR="00DE47FB" w:rsidRPr="00DE47FB" w:rsidRDefault="00DE47FB" w:rsidP="00DE47FB">
      <w:pPr>
        <w:numPr>
          <w:ilvl w:val="0"/>
          <w:numId w:val="23"/>
        </w:numPr>
        <w:autoSpaceDE w:val="0"/>
        <w:autoSpaceDN w:val="0"/>
        <w:adjustRightInd w:val="0"/>
        <w:jc w:val="both"/>
        <w:rPr>
          <w:sz w:val="28"/>
          <w:szCs w:val="28"/>
        </w:rPr>
      </w:pPr>
      <w:r w:rsidRPr="00DE47FB">
        <w:rPr>
          <w:sz w:val="28"/>
          <w:szCs w:val="28"/>
        </w:rPr>
        <w:t>tiek stimulēta konkurence.</w:t>
      </w:r>
    </w:p>
    <w:p w:rsidR="00DE47FB" w:rsidRPr="00DE47FB" w:rsidRDefault="00DE47FB" w:rsidP="00DE47FB">
      <w:pPr>
        <w:autoSpaceDE w:val="0"/>
        <w:autoSpaceDN w:val="0"/>
        <w:adjustRightInd w:val="0"/>
        <w:jc w:val="both"/>
        <w:rPr>
          <w:sz w:val="28"/>
          <w:szCs w:val="28"/>
        </w:rPr>
      </w:pPr>
    </w:p>
    <w:p w:rsidR="00B55900" w:rsidRDefault="00DE47FB" w:rsidP="00DE47FB">
      <w:pPr>
        <w:autoSpaceDE w:val="0"/>
        <w:autoSpaceDN w:val="0"/>
        <w:adjustRightInd w:val="0"/>
        <w:ind w:firstLine="720"/>
        <w:jc w:val="both"/>
        <w:rPr>
          <w:sz w:val="28"/>
          <w:szCs w:val="28"/>
        </w:rPr>
      </w:pPr>
      <w:r w:rsidRPr="00DE47FB">
        <w:rPr>
          <w:sz w:val="28"/>
          <w:szCs w:val="28"/>
        </w:rPr>
        <w:t xml:space="preserve">Pašlaik tiek realizēta </w:t>
      </w:r>
      <w:r w:rsidR="007D2D3D">
        <w:rPr>
          <w:sz w:val="28"/>
          <w:szCs w:val="28"/>
        </w:rPr>
        <w:t>n</w:t>
      </w:r>
      <w:r w:rsidRPr="00DE47FB">
        <w:rPr>
          <w:sz w:val="28"/>
          <w:szCs w:val="28"/>
        </w:rPr>
        <w:t>oteikum</w:t>
      </w:r>
      <w:r w:rsidR="007D2D3D">
        <w:rPr>
          <w:sz w:val="28"/>
          <w:szCs w:val="28"/>
        </w:rPr>
        <w:t>u</w:t>
      </w:r>
      <w:r w:rsidRPr="00DE47FB">
        <w:rPr>
          <w:sz w:val="28"/>
          <w:szCs w:val="28"/>
        </w:rPr>
        <w:t xml:space="preserve"> Nr.899 118. punkta izpilde, saskaņā ar</w:t>
      </w:r>
      <w:r w:rsidR="00B55900">
        <w:rPr>
          <w:sz w:val="28"/>
          <w:szCs w:val="28"/>
        </w:rPr>
        <w:t xml:space="preserve"> kuru iesniedzēji septiņu darba</w:t>
      </w:r>
      <w:r w:rsidRPr="00DE47FB">
        <w:rPr>
          <w:sz w:val="28"/>
          <w:szCs w:val="28"/>
        </w:rPr>
        <w:t>dienu laik</w:t>
      </w:r>
      <w:r w:rsidR="00B55900">
        <w:rPr>
          <w:sz w:val="28"/>
          <w:szCs w:val="28"/>
        </w:rPr>
        <w:t>ā</w:t>
      </w:r>
      <w:r w:rsidR="003D0418">
        <w:rPr>
          <w:sz w:val="28"/>
          <w:szCs w:val="28"/>
        </w:rPr>
        <w:t>,</w:t>
      </w:r>
      <w:r w:rsidR="00B55900">
        <w:rPr>
          <w:sz w:val="28"/>
          <w:szCs w:val="28"/>
        </w:rPr>
        <w:t xml:space="preserve"> sākot ar š.g. 2.</w:t>
      </w:r>
      <w:r w:rsidRPr="00DE47FB">
        <w:rPr>
          <w:sz w:val="28"/>
          <w:szCs w:val="28"/>
        </w:rPr>
        <w:t>novembri</w:t>
      </w:r>
      <w:r w:rsidR="003D0418">
        <w:rPr>
          <w:sz w:val="28"/>
          <w:szCs w:val="28"/>
        </w:rPr>
        <w:t>,</w:t>
      </w:r>
      <w:r w:rsidRPr="00DE47FB">
        <w:rPr>
          <w:sz w:val="28"/>
          <w:szCs w:val="28"/>
        </w:rPr>
        <w:t xml:space="preserve"> var</w:t>
      </w:r>
      <w:r w:rsidR="00B55900">
        <w:rPr>
          <w:sz w:val="28"/>
          <w:szCs w:val="28"/>
        </w:rPr>
        <w:t>ēja</w:t>
      </w:r>
      <w:r w:rsidRPr="00DE47FB">
        <w:rPr>
          <w:sz w:val="28"/>
          <w:szCs w:val="28"/>
        </w:rPr>
        <w:t xml:space="preserve"> iesniegt jaunu iesniegumu zāļu vai medicīniskās ierīces kompensācijas bāzes cenas samazināšanai zem zemākās attiecīgās references grupas piedāvātās cenas. </w:t>
      </w:r>
    </w:p>
    <w:p w:rsidR="00B55900" w:rsidRDefault="00B55900" w:rsidP="00DE47FB">
      <w:pPr>
        <w:autoSpaceDE w:val="0"/>
        <w:autoSpaceDN w:val="0"/>
        <w:adjustRightInd w:val="0"/>
        <w:ind w:firstLine="720"/>
        <w:jc w:val="both"/>
        <w:rPr>
          <w:sz w:val="28"/>
          <w:szCs w:val="28"/>
        </w:rPr>
      </w:pPr>
      <w:r>
        <w:rPr>
          <w:sz w:val="28"/>
          <w:szCs w:val="28"/>
        </w:rPr>
        <w:t>Veselības ministrija, pamatojoties uz farmācijas jomas komersantu</w:t>
      </w:r>
      <w:r w:rsidR="004966E0">
        <w:rPr>
          <w:sz w:val="28"/>
          <w:szCs w:val="28"/>
        </w:rPr>
        <w:t>, kas noteikumu Nr.899 izpratnē ir iesniedzēji,</w:t>
      </w:r>
      <w:r>
        <w:rPr>
          <w:sz w:val="28"/>
          <w:szCs w:val="28"/>
        </w:rPr>
        <w:t xml:space="preserve"> lūgumu, 2011.gada 3.novembra vēstulē Nr.01-18.16/4455 ir sniegusi </w:t>
      </w:r>
      <w:r w:rsidR="007D2D3D">
        <w:rPr>
          <w:sz w:val="28"/>
          <w:szCs w:val="28"/>
        </w:rPr>
        <w:t xml:space="preserve">iesniedzējiem </w:t>
      </w:r>
      <w:r w:rsidR="004966E0">
        <w:rPr>
          <w:sz w:val="28"/>
          <w:szCs w:val="28"/>
        </w:rPr>
        <w:t xml:space="preserve">papildus </w:t>
      </w:r>
      <w:r>
        <w:rPr>
          <w:sz w:val="28"/>
          <w:szCs w:val="28"/>
        </w:rPr>
        <w:t>s</w:t>
      </w:r>
      <w:r w:rsidRPr="00E644F1">
        <w:rPr>
          <w:sz w:val="28"/>
          <w:szCs w:val="28"/>
        </w:rPr>
        <w:t>kaidrojumu</w:t>
      </w:r>
      <w:r w:rsidR="004966E0">
        <w:rPr>
          <w:sz w:val="28"/>
          <w:szCs w:val="28"/>
        </w:rPr>
        <w:t xml:space="preserve"> par noteikumu Nr.899 </w:t>
      </w:r>
      <w:r w:rsidR="004966E0" w:rsidRPr="00DE47FB">
        <w:rPr>
          <w:sz w:val="28"/>
          <w:szCs w:val="28"/>
        </w:rPr>
        <w:t>62.</w:t>
      </w:r>
      <w:r w:rsidR="004966E0" w:rsidRPr="00DE47FB">
        <w:rPr>
          <w:sz w:val="28"/>
          <w:szCs w:val="28"/>
          <w:vertAlign w:val="superscript"/>
        </w:rPr>
        <w:t>2</w:t>
      </w:r>
      <w:r w:rsidR="004966E0">
        <w:rPr>
          <w:sz w:val="28"/>
          <w:szCs w:val="28"/>
          <w:vertAlign w:val="superscript"/>
        </w:rPr>
        <w:t xml:space="preserve"> </w:t>
      </w:r>
      <w:r w:rsidR="004966E0">
        <w:rPr>
          <w:sz w:val="28"/>
          <w:szCs w:val="28"/>
        </w:rPr>
        <w:t>un 118.punktā iekļauto normu mērķi un piemērošanu no 2011.gada 1.novembra.</w:t>
      </w:r>
    </w:p>
    <w:p w:rsidR="00DE47FB" w:rsidRPr="00DE47FB" w:rsidRDefault="00DE47FB" w:rsidP="003D0418">
      <w:pPr>
        <w:autoSpaceDE w:val="0"/>
        <w:autoSpaceDN w:val="0"/>
        <w:adjustRightInd w:val="0"/>
        <w:ind w:firstLine="720"/>
        <w:jc w:val="both"/>
        <w:rPr>
          <w:sz w:val="28"/>
          <w:szCs w:val="28"/>
        </w:rPr>
      </w:pPr>
      <w:r w:rsidRPr="00DE47FB">
        <w:rPr>
          <w:sz w:val="28"/>
          <w:szCs w:val="28"/>
        </w:rPr>
        <w:t xml:space="preserve">Tā kā piedāvājumu </w:t>
      </w:r>
      <w:r w:rsidR="00B02753">
        <w:rPr>
          <w:sz w:val="28"/>
          <w:szCs w:val="28"/>
        </w:rPr>
        <w:t xml:space="preserve">par kompensācijas bāzes cenas </w:t>
      </w:r>
      <w:r w:rsidR="003D0418">
        <w:rPr>
          <w:sz w:val="28"/>
          <w:szCs w:val="28"/>
        </w:rPr>
        <w:t xml:space="preserve">samazināšanu </w:t>
      </w:r>
      <w:r w:rsidR="007D2D3D">
        <w:rPr>
          <w:sz w:val="28"/>
          <w:szCs w:val="28"/>
        </w:rPr>
        <w:t xml:space="preserve">iesniedzēji </w:t>
      </w:r>
      <w:r w:rsidRPr="00DE47FB">
        <w:rPr>
          <w:sz w:val="28"/>
          <w:szCs w:val="28"/>
        </w:rPr>
        <w:t xml:space="preserve">var izteikt, iesniedzot to Nacionālajā veselības dienestā </w:t>
      </w:r>
      <w:r w:rsidR="004966E0">
        <w:rPr>
          <w:sz w:val="28"/>
          <w:szCs w:val="28"/>
        </w:rPr>
        <w:t>personīgi līdz 2011.gada 10.</w:t>
      </w:r>
      <w:r w:rsidRPr="00DE47FB">
        <w:rPr>
          <w:sz w:val="28"/>
          <w:szCs w:val="28"/>
        </w:rPr>
        <w:t xml:space="preserve">novembrim vai arī pa pastu (papildus 7 dienu laikā), tad </w:t>
      </w:r>
      <w:r w:rsidR="004852EE">
        <w:rPr>
          <w:sz w:val="28"/>
          <w:szCs w:val="28"/>
        </w:rPr>
        <w:t>efektivitāti</w:t>
      </w:r>
      <w:r w:rsidRPr="00DE47FB">
        <w:rPr>
          <w:sz w:val="28"/>
          <w:szCs w:val="28"/>
        </w:rPr>
        <w:t xml:space="preserve"> par veikto grozījumu noteikumu Nr.899 62.</w:t>
      </w:r>
      <w:r w:rsidRPr="00DE47FB">
        <w:rPr>
          <w:sz w:val="28"/>
          <w:szCs w:val="28"/>
          <w:vertAlign w:val="superscript"/>
        </w:rPr>
        <w:t>2</w:t>
      </w:r>
      <w:r w:rsidR="003D0418">
        <w:rPr>
          <w:sz w:val="28"/>
          <w:szCs w:val="28"/>
        </w:rPr>
        <w:t xml:space="preserve">punktā paredzētā mērķa – </w:t>
      </w:r>
      <w:r w:rsidRPr="00DE47FB">
        <w:rPr>
          <w:sz w:val="28"/>
          <w:szCs w:val="28"/>
        </w:rPr>
        <w:t>references cenas nodrošināšanai tikai vienām references grupā iekļautajām zālēm, sasniegšan</w:t>
      </w:r>
      <w:r w:rsidR="004852EE">
        <w:rPr>
          <w:sz w:val="28"/>
          <w:szCs w:val="28"/>
        </w:rPr>
        <w:t>u</w:t>
      </w:r>
      <w:r w:rsidRPr="00DE47FB">
        <w:rPr>
          <w:sz w:val="28"/>
          <w:szCs w:val="28"/>
        </w:rPr>
        <w:t xml:space="preserve"> precīzāk varēs </w:t>
      </w:r>
      <w:r w:rsidR="004852EE">
        <w:rPr>
          <w:sz w:val="28"/>
          <w:szCs w:val="28"/>
        </w:rPr>
        <w:t>novērtēt tikai pēc 2011. gada 17.</w:t>
      </w:r>
      <w:r w:rsidRPr="00DE47FB">
        <w:rPr>
          <w:sz w:val="28"/>
          <w:szCs w:val="28"/>
        </w:rPr>
        <w:t xml:space="preserve">novembra. </w:t>
      </w:r>
      <w:r w:rsidR="007D2D3D">
        <w:rPr>
          <w:sz w:val="28"/>
          <w:szCs w:val="28"/>
        </w:rPr>
        <w:t>A</w:t>
      </w:r>
      <w:r w:rsidRPr="00DE47FB">
        <w:rPr>
          <w:sz w:val="28"/>
          <w:szCs w:val="28"/>
        </w:rPr>
        <w:t>pkopojot datus par iesniegumiem kompensācijas bāzes cenas samazināšana</w:t>
      </w:r>
      <w:r w:rsidR="004852EE">
        <w:rPr>
          <w:sz w:val="28"/>
          <w:szCs w:val="28"/>
        </w:rPr>
        <w:t xml:space="preserve">i, kas </w:t>
      </w:r>
      <w:r w:rsidR="003D0418" w:rsidRPr="00DE47FB">
        <w:rPr>
          <w:sz w:val="28"/>
          <w:szCs w:val="28"/>
        </w:rPr>
        <w:t>Nacionālajā veselības dienestā</w:t>
      </w:r>
      <w:r w:rsidR="004852EE">
        <w:rPr>
          <w:sz w:val="28"/>
          <w:szCs w:val="28"/>
        </w:rPr>
        <w:t xml:space="preserve"> iesniegti līdz 2011.gada 10.</w:t>
      </w:r>
      <w:r w:rsidRPr="00DE47FB">
        <w:rPr>
          <w:sz w:val="28"/>
          <w:szCs w:val="28"/>
        </w:rPr>
        <w:t>novembrim, var secināt, ka:</w:t>
      </w:r>
    </w:p>
    <w:p w:rsidR="00DE47FB" w:rsidRPr="00DE47FB" w:rsidRDefault="00DE47FB" w:rsidP="00DE47FB">
      <w:pPr>
        <w:autoSpaceDE w:val="0"/>
        <w:autoSpaceDN w:val="0"/>
        <w:adjustRightInd w:val="0"/>
        <w:ind w:firstLine="720"/>
        <w:jc w:val="both"/>
        <w:rPr>
          <w:sz w:val="28"/>
          <w:szCs w:val="28"/>
        </w:rPr>
      </w:pPr>
    </w:p>
    <w:p w:rsidR="00DE47FB" w:rsidRPr="00DE47FB" w:rsidRDefault="00DE47FB" w:rsidP="004852EE">
      <w:pPr>
        <w:numPr>
          <w:ilvl w:val="0"/>
          <w:numId w:val="22"/>
        </w:numPr>
        <w:autoSpaceDE w:val="0"/>
        <w:autoSpaceDN w:val="0"/>
        <w:adjustRightInd w:val="0"/>
        <w:ind w:left="1530" w:hanging="810"/>
        <w:jc w:val="both"/>
        <w:rPr>
          <w:sz w:val="28"/>
          <w:szCs w:val="28"/>
        </w:rPr>
      </w:pPr>
      <w:r w:rsidRPr="00DE47FB">
        <w:rPr>
          <w:sz w:val="28"/>
          <w:szCs w:val="28"/>
        </w:rPr>
        <w:t>pamatojoties uz saņemtajiem iesniegumiem</w:t>
      </w:r>
      <w:r w:rsidR="007D2D3D">
        <w:rPr>
          <w:sz w:val="28"/>
          <w:szCs w:val="28"/>
        </w:rPr>
        <w:t>,</w:t>
      </w:r>
      <w:r w:rsidRPr="00DE47FB">
        <w:rPr>
          <w:sz w:val="28"/>
          <w:szCs w:val="28"/>
        </w:rPr>
        <w:t xml:space="preserve"> references cenas tiek piedāvāts pazemināt 48 zāļu vispārīgajiem nosaukumiem (KZS A sarakstā iekļaut</w:t>
      </w:r>
      <w:r w:rsidR="004852EE">
        <w:rPr>
          <w:sz w:val="28"/>
          <w:szCs w:val="28"/>
        </w:rPr>
        <w:t>i 173 zāļu vispārīgie nosaukumi</w:t>
      </w:r>
      <w:r w:rsidR="00F77AB8">
        <w:rPr>
          <w:sz w:val="28"/>
          <w:szCs w:val="28"/>
        </w:rPr>
        <w:t>)</w:t>
      </w:r>
      <w:r w:rsidR="004852EE">
        <w:rPr>
          <w:sz w:val="28"/>
          <w:szCs w:val="28"/>
        </w:rPr>
        <w:t>;</w:t>
      </w:r>
    </w:p>
    <w:p w:rsidR="00DE47FB" w:rsidRPr="00DE47FB" w:rsidRDefault="00DE47FB" w:rsidP="004852EE">
      <w:pPr>
        <w:numPr>
          <w:ilvl w:val="0"/>
          <w:numId w:val="22"/>
        </w:numPr>
        <w:autoSpaceDE w:val="0"/>
        <w:autoSpaceDN w:val="0"/>
        <w:adjustRightInd w:val="0"/>
        <w:ind w:left="1530" w:hanging="810"/>
        <w:jc w:val="both"/>
        <w:rPr>
          <w:sz w:val="28"/>
          <w:szCs w:val="28"/>
        </w:rPr>
      </w:pPr>
      <w:r w:rsidRPr="00DE47FB">
        <w:rPr>
          <w:sz w:val="28"/>
          <w:szCs w:val="28"/>
        </w:rPr>
        <w:t>24 iesniegumos piedāvātas kompensācijas bāzes cenas ir vienādas diviem vai vairāk medikam</w:t>
      </w:r>
      <w:r w:rsidR="004852EE">
        <w:rPr>
          <w:sz w:val="28"/>
          <w:szCs w:val="28"/>
        </w:rPr>
        <w:t>entiem;</w:t>
      </w:r>
    </w:p>
    <w:p w:rsidR="00DE47FB" w:rsidRPr="00DE47FB" w:rsidRDefault="00DE47FB" w:rsidP="004852EE">
      <w:pPr>
        <w:numPr>
          <w:ilvl w:val="0"/>
          <w:numId w:val="22"/>
        </w:numPr>
        <w:autoSpaceDE w:val="0"/>
        <w:autoSpaceDN w:val="0"/>
        <w:adjustRightInd w:val="0"/>
        <w:ind w:left="1440" w:hanging="720"/>
        <w:jc w:val="both"/>
        <w:rPr>
          <w:sz w:val="28"/>
          <w:szCs w:val="28"/>
        </w:rPr>
      </w:pPr>
      <w:r w:rsidRPr="00DE47FB">
        <w:rPr>
          <w:sz w:val="28"/>
          <w:szCs w:val="28"/>
        </w:rPr>
        <w:t>KZS 53 medikamenti ar vienādām references cenām referenču grupās, par kuriem nav izteikts piedāvājums samazināt cenu.</w:t>
      </w:r>
    </w:p>
    <w:p w:rsidR="00DE47FB" w:rsidRPr="00DE47FB" w:rsidRDefault="00DE47FB" w:rsidP="00DE47FB">
      <w:pPr>
        <w:autoSpaceDE w:val="0"/>
        <w:autoSpaceDN w:val="0"/>
        <w:adjustRightInd w:val="0"/>
        <w:ind w:left="1725"/>
        <w:jc w:val="both"/>
        <w:rPr>
          <w:sz w:val="28"/>
          <w:szCs w:val="28"/>
        </w:rPr>
      </w:pPr>
    </w:p>
    <w:p w:rsidR="00DE47FB" w:rsidRPr="00DE47FB" w:rsidRDefault="00DE47FB" w:rsidP="00AF5092">
      <w:pPr>
        <w:autoSpaceDE w:val="0"/>
        <w:autoSpaceDN w:val="0"/>
        <w:adjustRightInd w:val="0"/>
        <w:jc w:val="both"/>
        <w:rPr>
          <w:sz w:val="28"/>
          <w:szCs w:val="28"/>
        </w:rPr>
      </w:pPr>
      <w:r w:rsidRPr="00DE47FB">
        <w:rPr>
          <w:sz w:val="28"/>
          <w:szCs w:val="28"/>
        </w:rPr>
        <w:t xml:space="preserve">Līdz ar to saskaņā ar </w:t>
      </w:r>
      <w:r w:rsidR="007D2D3D">
        <w:rPr>
          <w:sz w:val="28"/>
          <w:szCs w:val="28"/>
        </w:rPr>
        <w:t>n</w:t>
      </w:r>
      <w:r w:rsidRPr="00DE47FB">
        <w:rPr>
          <w:sz w:val="28"/>
          <w:szCs w:val="28"/>
        </w:rPr>
        <w:t>oteikumu Nr.899 62.</w:t>
      </w:r>
      <w:r w:rsidRPr="00DE47FB">
        <w:rPr>
          <w:sz w:val="28"/>
          <w:szCs w:val="28"/>
          <w:vertAlign w:val="superscript"/>
        </w:rPr>
        <w:t>2</w:t>
      </w:r>
      <w:r w:rsidRPr="00DE47FB">
        <w:rPr>
          <w:sz w:val="28"/>
          <w:szCs w:val="28"/>
        </w:rPr>
        <w:t xml:space="preserve"> punktu references cenas noteikšanai vienām references</w:t>
      </w:r>
      <w:r w:rsidR="00B02753">
        <w:rPr>
          <w:sz w:val="28"/>
          <w:szCs w:val="28"/>
        </w:rPr>
        <w:t xml:space="preserve"> grupā iekļautajām zālēm jāveic</w:t>
      </w:r>
      <w:r w:rsidRPr="00DE47FB">
        <w:rPr>
          <w:sz w:val="28"/>
          <w:szCs w:val="28"/>
        </w:rPr>
        <w:t xml:space="preserve"> nākamais cenu samazināšanas solis – iesniedzējiem, kuru zālēm vienādas piedāvātās references cenas, jāpiedāvā iespēja atkārtotai cenas mazināšanai.</w:t>
      </w:r>
    </w:p>
    <w:p w:rsidR="00DE47FB" w:rsidRPr="00DE47FB" w:rsidRDefault="00DE47FB" w:rsidP="003D0418">
      <w:pPr>
        <w:autoSpaceDE w:val="0"/>
        <w:autoSpaceDN w:val="0"/>
        <w:adjustRightInd w:val="0"/>
        <w:ind w:firstLine="720"/>
        <w:jc w:val="both"/>
        <w:rPr>
          <w:color w:val="000000"/>
          <w:sz w:val="28"/>
          <w:szCs w:val="28"/>
          <w:lang w:eastAsia="lv-LV"/>
        </w:rPr>
      </w:pPr>
      <w:r w:rsidRPr="00DE47FB">
        <w:rPr>
          <w:sz w:val="28"/>
          <w:szCs w:val="28"/>
        </w:rPr>
        <w:lastRenderedPageBreak/>
        <w:t>Veselības ekonomikas centrs, pamatojoties uz veiktajiem grozījumiem noteikumu Nr.899 (19.10.2011. noteikumi Nr.821) 35., 62.</w:t>
      </w:r>
      <w:r w:rsidRPr="00DE47FB">
        <w:rPr>
          <w:sz w:val="28"/>
          <w:szCs w:val="28"/>
          <w:vertAlign w:val="superscript"/>
        </w:rPr>
        <w:t>2</w:t>
      </w:r>
      <w:r w:rsidRPr="00DE47FB">
        <w:rPr>
          <w:sz w:val="28"/>
          <w:szCs w:val="28"/>
        </w:rPr>
        <w:t xml:space="preserve"> un 118. punktā, ir izstrādājis un 2011.</w:t>
      </w:r>
      <w:r w:rsidR="003D0418">
        <w:rPr>
          <w:sz w:val="28"/>
          <w:szCs w:val="28"/>
        </w:rPr>
        <w:t>gada</w:t>
      </w:r>
      <w:r w:rsidRPr="00DE47FB">
        <w:rPr>
          <w:sz w:val="28"/>
          <w:szCs w:val="28"/>
        </w:rPr>
        <w:t xml:space="preserve"> </w:t>
      </w:r>
      <w:r w:rsidR="003D0418">
        <w:rPr>
          <w:sz w:val="28"/>
          <w:szCs w:val="28"/>
        </w:rPr>
        <w:t xml:space="preserve">31.oktobrī </w:t>
      </w:r>
      <w:r w:rsidRPr="00DE47FB">
        <w:rPr>
          <w:sz w:val="28"/>
          <w:szCs w:val="28"/>
        </w:rPr>
        <w:t>izdevis iekšējo normatīvo aktu Nr.14 „</w:t>
      </w:r>
      <w:r w:rsidRPr="00DE47FB">
        <w:rPr>
          <w:bCs/>
          <w:color w:val="000000"/>
          <w:sz w:val="28"/>
          <w:szCs w:val="28"/>
          <w:lang w:eastAsia="lv-LV"/>
        </w:rPr>
        <w:t xml:space="preserve">Par references cenas noteikšanu vienām references grupā iekļautajām zālēm (vai </w:t>
      </w:r>
      <w:proofErr w:type="spellStart"/>
      <w:r w:rsidRPr="00DE47FB">
        <w:rPr>
          <w:bCs/>
          <w:color w:val="000000"/>
          <w:sz w:val="28"/>
          <w:szCs w:val="28"/>
          <w:lang w:eastAsia="lv-LV"/>
        </w:rPr>
        <w:t>medīciniskajām</w:t>
      </w:r>
      <w:proofErr w:type="spellEnd"/>
      <w:r w:rsidRPr="00DE47FB">
        <w:rPr>
          <w:bCs/>
          <w:color w:val="000000"/>
          <w:sz w:val="28"/>
          <w:szCs w:val="28"/>
          <w:lang w:eastAsia="lv-LV"/>
        </w:rPr>
        <w:t xml:space="preserve"> ierīcēm)”, ar kuru tiek noteikta kārtība</w:t>
      </w:r>
      <w:r w:rsidR="007D2D3D">
        <w:rPr>
          <w:bCs/>
          <w:color w:val="000000"/>
          <w:sz w:val="28"/>
          <w:szCs w:val="28"/>
          <w:lang w:eastAsia="lv-LV"/>
        </w:rPr>
        <w:t>,</w:t>
      </w:r>
      <w:r w:rsidRPr="00DE47FB">
        <w:rPr>
          <w:bCs/>
          <w:color w:val="000000"/>
          <w:sz w:val="28"/>
          <w:szCs w:val="28"/>
          <w:lang w:eastAsia="lv-LV"/>
        </w:rPr>
        <w:t xml:space="preserve"> </w:t>
      </w:r>
      <w:r w:rsidRPr="00DE47FB">
        <w:rPr>
          <w:color w:val="000000"/>
          <w:sz w:val="28"/>
          <w:szCs w:val="28"/>
          <w:lang w:eastAsia="lv-LV"/>
        </w:rPr>
        <w:t>kādā tiek veikta references cenas noteikšana vienām references grupā iekļautajām zālēm (vai medicīniskajām ierīcēm), ja:</w:t>
      </w:r>
    </w:p>
    <w:p w:rsidR="00DE47FB" w:rsidRPr="00DE47FB" w:rsidRDefault="00DE47FB" w:rsidP="00DE47FB">
      <w:pPr>
        <w:autoSpaceDE w:val="0"/>
        <w:autoSpaceDN w:val="0"/>
        <w:adjustRightInd w:val="0"/>
        <w:jc w:val="both"/>
        <w:rPr>
          <w:color w:val="000000"/>
          <w:sz w:val="28"/>
          <w:szCs w:val="28"/>
          <w:lang w:eastAsia="lv-LV"/>
        </w:rPr>
      </w:pPr>
      <w:r w:rsidRPr="00DE47FB">
        <w:rPr>
          <w:color w:val="000000"/>
          <w:sz w:val="28"/>
          <w:szCs w:val="28"/>
          <w:lang w:eastAsia="lv-LV"/>
        </w:rPr>
        <w:t>a)</w:t>
      </w:r>
      <w:r w:rsidR="00AF5437">
        <w:rPr>
          <w:color w:val="000000"/>
          <w:sz w:val="28"/>
          <w:szCs w:val="28"/>
          <w:lang w:eastAsia="lv-LV"/>
        </w:rPr>
        <w:t xml:space="preserve"> </w:t>
      </w:r>
      <w:r w:rsidR="00B02753">
        <w:rPr>
          <w:color w:val="000000"/>
          <w:sz w:val="28"/>
          <w:szCs w:val="28"/>
          <w:lang w:eastAsia="lv-LV"/>
        </w:rPr>
        <w:t>KZS</w:t>
      </w:r>
      <w:r w:rsidRPr="00DE47FB">
        <w:rPr>
          <w:color w:val="000000"/>
          <w:sz w:val="28"/>
          <w:szCs w:val="28"/>
          <w:lang w:eastAsia="lv-LV"/>
        </w:rPr>
        <w:t xml:space="preserve"> vienā references grupā diviem vai vairākiem medikamentiem ir vienāda</w:t>
      </w:r>
      <w:r w:rsidR="003D0418">
        <w:rPr>
          <w:color w:val="000000"/>
          <w:sz w:val="28"/>
          <w:szCs w:val="28"/>
          <w:lang w:eastAsia="lv-LV"/>
        </w:rPr>
        <w:t>s references cenas;</w:t>
      </w:r>
    </w:p>
    <w:p w:rsidR="00DE47FB" w:rsidRPr="00DE47FB" w:rsidRDefault="00DE47FB" w:rsidP="00DE47FB">
      <w:pPr>
        <w:autoSpaceDE w:val="0"/>
        <w:autoSpaceDN w:val="0"/>
        <w:adjustRightInd w:val="0"/>
        <w:jc w:val="both"/>
        <w:rPr>
          <w:color w:val="000000"/>
          <w:sz w:val="28"/>
          <w:szCs w:val="28"/>
          <w:lang w:eastAsia="lv-LV"/>
        </w:rPr>
      </w:pPr>
      <w:r w:rsidRPr="00DE47FB">
        <w:rPr>
          <w:color w:val="000000"/>
          <w:sz w:val="28"/>
          <w:szCs w:val="28"/>
          <w:lang w:eastAsia="lv-LV"/>
        </w:rPr>
        <w:t>b)</w:t>
      </w:r>
      <w:r w:rsidR="00AF5437">
        <w:rPr>
          <w:color w:val="000000"/>
          <w:sz w:val="28"/>
          <w:szCs w:val="28"/>
          <w:lang w:eastAsia="lv-LV"/>
        </w:rPr>
        <w:t xml:space="preserve"> </w:t>
      </w:r>
      <w:r w:rsidRPr="00DE47FB">
        <w:rPr>
          <w:color w:val="000000"/>
          <w:sz w:val="28"/>
          <w:szCs w:val="28"/>
          <w:lang w:eastAsia="lv-LV"/>
        </w:rPr>
        <w:t xml:space="preserve">vairāku iesniedzēju piedāvātā zemākā attiecīgās references grupas cena ir vienāda. </w:t>
      </w:r>
    </w:p>
    <w:p w:rsidR="00DE47FB" w:rsidRPr="00DE47FB" w:rsidRDefault="00DE47FB" w:rsidP="009E6EA0">
      <w:pPr>
        <w:autoSpaceDE w:val="0"/>
        <w:autoSpaceDN w:val="0"/>
        <w:adjustRightInd w:val="0"/>
        <w:ind w:firstLine="720"/>
        <w:jc w:val="both"/>
        <w:rPr>
          <w:color w:val="000000"/>
          <w:sz w:val="28"/>
          <w:szCs w:val="28"/>
          <w:lang w:eastAsia="lv-LV"/>
        </w:rPr>
      </w:pPr>
      <w:r w:rsidRPr="00DE47FB">
        <w:rPr>
          <w:color w:val="000000"/>
          <w:sz w:val="28"/>
          <w:szCs w:val="28"/>
          <w:lang w:eastAsia="lv-LV"/>
        </w:rPr>
        <w:t xml:space="preserve">Ar minēto iekšējo normatīvo aktu tiek noteikts, ka Nacionālais veselības dienests tiem iesniedzējiem, kuru </w:t>
      </w:r>
      <w:r w:rsidR="003D0418">
        <w:rPr>
          <w:color w:val="000000"/>
          <w:sz w:val="28"/>
          <w:szCs w:val="28"/>
          <w:lang w:eastAsia="lv-LV"/>
        </w:rPr>
        <w:t xml:space="preserve">zālēm </w:t>
      </w:r>
      <w:r w:rsidRPr="00DE47FB">
        <w:rPr>
          <w:color w:val="000000"/>
          <w:sz w:val="28"/>
          <w:szCs w:val="28"/>
          <w:lang w:eastAsia="lv-LV"/>
        </w:rPr>
        <w:t>ir vienādas references cenas vai vienādas piedāvātās cenas, nosūta piedāvājumu atkārtoti samazināt piedāvāto kompensācijas bāzes cenu, vienlaikus vēstulē norādot datumu, līdz kuram jāiesniedz piedāvājums par cenas samazināšanu. Piedāvājuma iesniegšanas termiņš nevar būt īsāks par 14 dienām, skaitot no Nacionālā veselības dienesta vēstules izsūtīšanas dienas.</w:t>
      </w:r>
    </w:p>
    <w:p w:rsidR="00DE47FB" w:rsidRPr="00DE47FB" w:rsidRDefault="00DE47FB" w:rsidP="009E6EA0">
      <w:pPr>
        <w:autoSpaceDE w:val="0"/>
        <w:autoSpaceDN w:val="0"/>
        <w:adjustRightInd w:val="0"/>
        <w:ind w:firstLine="720"/>
        <w:jc w:val="both"/>
        <w:rPr>
          <w:color w:val="000000"/>
          <w:sz w:val="28"/>
          <w:szCs w:val="28"/>
          <w:lang w:eastAsia="lv-LV"/>
        </w:rPr>
      </w:pPr>
      <w:r w:rsidRPr="00DE47FB">
        <w:rPr>
          <w:color w:val="000000"/>
          <w:sz w:val="28"/>
          <w:szCs w:val="28"/>
          <w:lang w:eastAsia="lv-LV"/>
        </w:rPr>
        <w:t xml:space="preserve">Piedāvājumu samazināt cenu Nacionālais veselības dienests nosūtīs arī iesniedzējam, kurš Nacionālajam veselības dienestam iesniedzis iesniegumu par </w:t>
      </w:r>
      <w:r w:rsidR="009E6EA0">
        <w:rPr>
          <w:color w:val="000000"/>
          <w:sz w:val="28"/>
          <w:szCs w:val="28"/>
          <w:lang w:eastAsia="lv-LV"/>
        </w:rPr>
        <w:t xml:space="preserve">zāļu </w:t>
      </w:r>
      <w:r w:rsidRPr="00DE47FB">
        <w:rPr>
          <w:color w:val="000000"/>
          <w:sz w:val="28"/>
          <w:szCs w:val="28"/>
          <w:lang w:eastAsia="lv-LV"/>
        </w:rPr>
        <w:t xml:space="preserve">iekļaušanu </w:t>
      </w:r>
      <w:r w:rsidR="00B02753">
        <w:rPr>
          <w:color w:val="000000"/>
          <w:sz w:val="28"/>
          <w:szCs w:val="28"/>
          <w:lang w:eastAsia="lv-LV"/>
        </w:rPr>
        <w:t>KZS</w:t>
      </w:r>
      <w:r w:rsidRPr="00DE47FB">
        <w:rPr>
          <w:color w:val="000000"/>
          <w:sz w:val="28"/>
          <w:szCs w:val="28"/>
          <w:lang w:eastAsia="lv-LV"/>
        </w:rPr>
        <w:t xml:space="preserve"> un tā pieteiktā cena ir vienāda ar cita iesniedzēja jauno piedāvāto zemāko – references cenu. </w:t>
      </w:r>
    </w:p>
    <w:p w:rsidR="00DE47FB" w:rsidRPr="00DE47FB" w:rsidRDefault="00DE47FB" w:rsidP="009E6EA0">
      <w:pPr>
        <w:autoSpaceDE w:val="0"/>
        <w:autoSpaceDN w:val="0"/>
        <w:adjustRightInd w:val="0"/>
        <w:ind w:firstLine="720"/>
        <w:jc w:val="both"/>
        <w:rPr>
          <w:color w:val="000000"/>
          <w:sz w:val="28"/>
          <w:szCs w:val="28"/>
          <w:lang w:eastAsia="lv-LV"/>
        </w:rPr>
      </w:pPr>
      <w:r w:rsidRPr="00DE47FB">
        <w:rPr>
          <w:color w:val="000000"/>
          <w:sz w:val="28"/>
          <w:szCs w:val="28"/>
          <w:lang w:eastAsia="lv-LV"/>
        </w:rPr>
        <w:t xml:space="preserve">Iekšējā normatīvajā aktā arī norādīts, ka </w:t>
      </w:r>
      <w:r w:rsidR="009E6EA0">
        <w:rPr>
          <w:color w:val="000000"/>
          <w:sz w:val="28"/>
          <w:szCs w:val="28"/>
          <w:lang w:eastAsia="lv-LV"/>
        </w:rPr>
        <w:t>i</w:t>
      </w:r>
      <w:r w:rsidRPr="00DE47FB">
        <w:rPr>
          <w:color w:val="000000"/>
          <w:sz w:val="28"/>
          <w:szCs w:val="28"/>
          <w:lang w:eastAsia="lv-LV"/>
        </w:rPr>
        <w:t xml:space="preserve">esniedzēja piekrišana samazināt </w:t>
      </w:r>
      <w:r w:rsidR="009E6EA0">
        <w:rPr>
          <w:color w:val="000000"/>
          <w:sz w:val="28"/>
          <w:szCs w:val="28"/>
          <w:lang w:eastAsia="lv-LV"/>
        </w:rPr>
        <w:t>zāļu</w:t>
      </w:r>
      <w:r w:rsidRPr="00DE47FB">
        <w:rPr>
          <w:color w:val="000000"/>
          <w:sz w:val="28"/>
          <w:szCs w:val="28"/>
          <w:lang w:eastAsia="lv-LV"/>
        </w:rPr>
        <w:t xml:space="preserve"> cenu tiks uzskatīta par iesniegtu termiņā, ja tā būs iesniegta Nacionālajā veselības dienestā pēdējā norādītā termiņa dienā vai nodota past</w:t>
      </w:r>
      <w:r w:rsidR="009E6EA0">
        <w:rPr>
          <w:color w:val="000000"/>
          <w:sz w:val="28"/>
          <w:szCs w:val="28"/>
          <w:lang w:eastAsia="lv-LV"/>
        </w:rPr>
        <w:t>a iestādē</w:t>
      </w:r>
      <w:r w:rsidRPr="00DE47FB">
        <w:rPr>
          <w:color w:val="000000"/>
          <w:sz w:val="28"/>
          <w:szCs w:val="28"/>
          <w:lang w:eastAsia="lv-LV"/>
        </w:rPr>
        <w:t>.</w:t>
      </w:r>
    </w:p>
    <w:p w:rsidR="00DE47FB" w:rsidRPr="00DE47FB" w:rsidRDefault="00DE47FB" w:rsidP="00DE47FB">
      <w:pPr>
        <w:autoSpaceDE w:val="0"/>
        <w:autoSpaceDN w:val="0"/>
        <w:adjustRightInd w:val="0"/>
        <w:ind w:firstLine="720"/>
        <w:jc w:val="both"/>
        <w:rPr>
          <w:color w:val="000000"/>
          <w:sz w:val="28"/>
          <w:szCs w:val="28"/>
          <w:lang w:eastAsia="lv-LV"/>
        </w:rPr>
      </w:pPr>
      <w:r w:rsidRPr="00DE47FB">
        <w:rPr>
          <w:color w:val="000000"/>
          <w:sz w:val="28"/>
          <w:szCs w:val="28"/>
          <w:lang w:eastAsia="lv-LV"/>
        </w:rPr>
        <w:t>Ņemot vērā to, ka, pirms piedāv</w:t>
      </w:r>
      <w:r w:rsidR="00443A84">
        <w:rPr>
          <w:color w:val="000000"/>
          <w:sz w:val="28"/>
          <w:szCs w:val="28"/>
          <w:lang w:eastAsia="lv-LV"/>
        </w:rPr>
        <w:t>ājuma izsūtīšanas iesniedzējiem</w:t>
      </w:r>
      <w:r w:rsidRPr="00DE47FB">
        <w:rPr>
          <w:color w:val="000000"/>
          <w:sz w:val="28"/>
          <w:szCs w:val="28"/>
          <w:lang w:eastAsia="lv-LV"/>
        </w:rPr>
        <w:t xml:space="preserve"> Nacionālajam veselības dienestam ir jāapkopo no iesniedzējiem saņemtā informācija par piedāvāto kompensācijas bāzes cenas samazinājumu un to, ka iesniedzēji piedāvājumus kompensācijas bāzes cenas samazināšanai iesniedz Nacionālajam veselības dienestam arī pa pastu, tad ne āt</w:t>
      </w:r>
      <w:r w:rsidR="00AF5437">
        <w:rPr>
          <w:color w:val="000000"/>
          <w:sz w:val="28"/>
          <w:szCs w:val="28"/>
          <w:lang w:eastAsia="lv-LV"/>
        </w:rPr>
        <w:t>rāk kā uz 2011. gada 16. un 17.</w:t>
      </w:r>
      <w:r w:rsidRPr="00DE47FB">
        <w:rPr>
          <w:color w:val="000000"/>
          <w:sz w:val="28"/>
          <w:szCs w:val="28"/>
          <w:lang w:eastAsia="lv-LV"/>
        </w:rPr>
        <w:t>decembri Nacionālajā veselības dienestā varētu tikt saņemta visa informācija no iesniedzējiem par iesniedzēju gatavību papildus samazināt cenu.</w:t>
      </w:r>
    </w:p>
    <w:p w:rsidR="00443A84" w:rsidRDefault="00443A84" w:rsidP="00054E13">
      <w:pPr>
        <w:autoSpaceDE w:val="0"/>
        <w:autoSpaceDN w:val="0"/>
        <w:adjustRightInd w:val="0"/>
        <w:ind w:firstLine="720"/>
        <w:jc w:val="both"/>
        <w:rPr>
          <w:sz w:val="28"/>
          <w:szCs w:val="28"/>
        </w:rPr>
      </w:pPr>
      <w:r>
        <w:rPr>
          <w:color w:val="000000"/>
          <w:sz w:val="28"/>
          <w:szCs w:val="28"/>
          <w:lang w:eastAsia="lv-LV"/>
        </w:rPr>
        <w:t>E</w:t>
      </w:r>
      <w:r w:rsidR="00DE47FB" w:rsidRPr="00DE47FB">
        <w:rPr>
          <w:sz w:val="28"/>
          <w:szCs w:val="28"/>
        </w:rPr>
        <w:t xml:space="preserve">sošā noteikumu Nr.899 redakcija neparedz gadījumus references cenas noteikšanai vienām references grupā iekļautajām zālēm gadījumos, ja iesniedzēji, pamatojoties uz </w:t>
      </w:r>
      <w:r w:rsidR="009E6EA0" w:rsidRPr="00DE47FB">
        <w:rPr>
          <w:sz w:val="28"/>
          <w:szCs w:val="28"/>
        </w:rPr>
        <w:t>Nacionālajā veselības dienest</w:t>
      </w:r>
      <w:r w:rsidR="009E6EA0">
        <w:rPr>
          <w:sz w:val="28"/>
          <w:szCs w:val="28"/>
        </w:rPr>
        <w:t>a</w:t>
      </w:r>
      <w:r w:rsidR="00DE47FB" w:rsidRPr="00DE47FB">
        <w:rPr>
          <w:sz w:val="28"/>
          <w:szCs w:val="28"/>
        </w:rPr>
        <w:t xml:space="preserve"> piedāvājumu, nepiekrīt samazināt zāļu vai medicīnisko ierīču cenas</w:t>
      </w:r>
      <w:r w:rsidR="005E235B">
        <w:rPr>
          <w:sz w:val="28"/>
          <w:szCs w:val="28"/>
        </w:rPr>
        <w:t xml:space="preserve">, </w:t>
      </w:r>
      <w:r>
        <w:rPr>
          <w:sz w:val="28"/>
          <w:szCs w:val="28"/>
        </w:rPr>
        <w:t xml:space="preserve">tāpēc </w:t>
      </w:r>
      <w:r w:rsidR="005E235B">
        <w:rPr>
          <w:sz w:val="28"/>
          <w:szCs w:val="28"/>
        </w:rPr>
        <w:t xml:space="preserve">pastāv </w:t>
      </w:r>
      <w:r>
        <w:rPr>
          <w:sz w:val="28"/>
          <w:szCs w:val="28"/>
        </w:rPr>
        <w:t>risks</w:t>
      </w:r>
      <w:r w:rsidR="005E235B">
        <w:rPr>
          <w:sz w:val="28"/>
          <w:szCs w:val="28"/>
        </w:rPr>
        <w:t xml:space="preserve">, vai noteikumu Nr.899 35.punktā iekļautā norma pilnībā būs īstenojama ar 2012.gada 1.janvāri. </w:t>
      </w:r>
      <w:r>
        <w:rPr>
          <w:sz w:val="28"/>
          <w:szCs w:val="28"/>
        </w:rPr>
        <w:t xml:space="preserve">Gadījumā, ja zemākā cena netiek noteikta saskaņā ar noteikumu Nr.899 </w:t>
      </w:r>
      <w:r w:rsidRPr="00DE47FB">
        <w:rPr>
          <w:sz w:val="28"/>
          <w:szCs w:val="28"/>
        </w:rPr>
        <w:t>62.</w:t>
      </w:r>
      <w:r w:rsidRPr="00DE47FB">
        <w:rPr>
          <w:sz w:val="28"/>
          <w:szCs w:val="28"/>
          <w:vertAlign w:val="superscript"/>
        </w:rPr>
        <w:t>2</w:t>
      </w:r>
      <w:r>
        <w:rPr>
          <w:sz w:val="28"/>
          <w:szCs w:val="28"/>
        </w:rPr>
        <w:t>punktu, Nacionālais veselības dienests plāno par references zālēm vai medicīniskām ierīcēm noteikt tās zāles, kuru pārdošanas apjoms naturālajās vienībās (piemēram DDD/1000 iedz.) gadā kompensācijas kārtības ietvaros iepriekšējā gadā ir bijis lielāks.</w:t>
      </w:r>
      <w:r w:rsidR="00054E13">
        <w:rPr>
          <w:sz w:val="28"/>
          <w:szCs w:val="28"/>
        </w:rPr>
        <w:t xml:space="preserve"> Tāpat pamatojoties uz veiktajiem grozījumiem noteikumos Nr.899 un mainītajiem iesniegumu </w:t>
      </w:r>
      <w:r w:rsidR="00054E13">
        <w:rPr>
          <w:sz w:val="28"/>
          <w:szCs w:val="28"/>
        </w:rPr>
        <w:lastRenderedPageBreak/>
        <w:t>iesniegšanas termiņiem, Nacionālais veselības dienests plāno veikt izmaiņas KZS ar 2012.gada 1.februāri.</w:t>
      </w:r>
    </w:p>
    <w:p w:rsidR="00DE47FB" w:rsidRPr="00DE47FB" w:rsidRDefault="00DE2DB0" w:rsidP="00DE47FB">
      <w:pPr>
        <w:autoSpaceDE w:val="0"/>
        <w:autoSpaceDN w:val="0"/>
        <w:adjustRightInd w:val="0"/>
        <w:ind w:firstLine="720"/>
        <w:jc w:val="both"/>
        <w:rPr>
          <w:color w:val="000000"/>
          <w:sz w:val="28"/>
          <w:szCs w:val="28"/>
          <w:lang w:eastAsia="lv-LV"/>
        </w:rPr>
      </w:pPr>
      <w:r>
        <w:rPr>
          <w:sz w:val="28"/>
          <w:szCs w:val="28"/>
        </w:rPr>
        <w:t xml:space="preserve">Ņemot vērā minēto, </w:t>
      </w:r>
      <w:r w:rsidR="005E235B">
        <w:rPr>
          <w:sz w:val="28"/>
          <w:szCs w:val="28"/>
        </w:rPr>
        <w:t xml:space="preserve">Veselības ministrija </w:t>
      </w:r>
      <w:r w:rsidR="00054E13">
        <w:rPr>
          <w:sz w:val="28"/>
          <w:szCs w:val="28"/>
        </w:rPr>
        <w:t xml:space="preserve">vēlreiz </w:t>
      </w:r>
      <w:r w:rsidR="005E235B">
        <w:rPr>
          <w:sz w:val="28"/>
          <w:szCs w:val="28"/>
        </w:rPr>
        <w:t xml:space="preserve">vērtēs situāciju pēc Nacionālā veselības dienesta pilnībā apkopotajiem </w:t>
      </w:r>
      <w:r w:rsidR="005E235B" w:rsidRPr="00DE47FB">
        <w:rPr>
          <w:sz w:val="28"/>
          <w:szCs w:val="28"/>
        </w:rPr>
        <w:t>dat</w:t>
      </w:r>
      <w:r w:rsidR="005E235B">
        <w:rPr>
          <w:sz w:val="28"/>
          <w:szCs w:val="28"/>
        </w:rPr>
        <w:t>iem</w:t>
      </w:r>
      <w:r w:rsidR="005E235B" w:rsidRPr="00DE47FB">
        <w:rPr>
          <w:sz w:val="28"/>
          <w:szCs w:val="28"/>
        </w:rPr>
        <w:t xml:space="preserve"> par iesniegumiem kompensācijas bāzes cenas samazināšana</w:t>
      </w:r>
      <w:r w:rsidR="005E235B">
        <w:rPr>
          <w:sz w:val="28"/>
          <w:szCs w:val="28"/>
        </w:rPr>
        <w:t>i</w:t>
      </w:r>
      <w:r>
        <w:rPr>
          <w:sz w:val="28"/>
          <w:szCs w:val="28"/>
        </w:rPr>
        <w:t xml:space="preserve">, kā arī </w:t>
      </w:r>
      <w:r w:rsidR="00054E13">
        <w:rPr>
          <w:sz w:val="28"/>
          <w:szCs w:val="28"/>
        </w:rPr>
        <w:t xml:space="preserve">par </w:t>
      </w:r>
      <w:r>
        <w:rPr>
          <w:sz w:val="28"/>
          <w:szCs w:val="28"/>
        </w:rPr>
        <w:t>nepieciešamību papildus grozījumiem noteikumos Nr.899.</w:t>
      </w:r>
    </w:p>
    <w:p w:rsidR="00DE47FB" w:rsidRPr="00DE47FB" w:rsidRDefault="00DE47FB" w:rsidP="00DE47FB">
      <w:pPr>
        <w:autoSpaceDE w:val="0"/>
        <w:autoSpaceDN w:val="0"/>
        <w:adjustRightInd w:val="0"/>
        <w:jc w:val="both"/>
        <w:rPr>
          <w:color w:val="000000"/>
          <w:sz w:val="28"/>
          <w:szCs w:val="28"/>
          <w:lang w:eastAsia="lv-LV"/>
        </w:rPr>
      </w:pPr>
    </w:p>
    <w:p w:rsidR="00DE47FB" w:rsidRPr="00DE47FB" w:rsidRDefault="00DE47FB" w:rsidP="00DE47FB">
      <w:pPr>
        <w:autoSpaceDE w:val="0"/>
        <w:autoSpaceDN w:val="0"/>
        <w:adjustRightInd w:val="0"/>
        <w:ind w:left="1080"/>
        <w:jc w:val="both"/>
        <w:rPr>
          <w:sz w:val="28"/>
          <w:szCs w:val="28"/>
        </w:rPr>
      </w:pPr>
    </w:p>
    <w:p w:rsidR="00AF5437" w:rsidRDefault="00AF5437" w:rsidP="00DE47FB">
      <w:pPr>
        <w:jc w:val="both"/>
        <w:rPr>
          <w:sz w:val="28"/>
          <w:szCs w:val="28"/>
        </w:rPr>
      </w:pPr>
    </w:p>
    <w:p w:rsidR="009809C6" w:rsidRDefault="001575F1" w:rsidP="00DE47FB">
      <w:pPr>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5437">
        <w:rPr>
          <w:sz w:val="28"/>
          <w:szCs w:val="28"/>
        </w:rPr>
        <w:tab/>
      </w:r>
      <w:proofErr w:type="spellStart"/>
      <w:r>
        <w:rPr>
          <w:sz w:val="28"/>
          <w:szCs w:val="28"/>
        </w:rPr>
        <w:t>I.Circene</w:t>
      </w:r>
      <w:proofErr w:type="spellEnd"/>
    </w:p>
    <w:p w:rsidR="001575F1" w:rsidRDefault="001575F1" w:rsidP="00DE47FB">
      <w:pPr>
        <w:jc w:val="both"/>
        <w:rPr>
          <w:sz w:val="28"/>
          <w:szCs w:val="28"/>
        </w:rPr>
      </w:pPr>
    </w:p>
    <w:p w:rsidR="001575F1" w:rsidRDefault="001575F1" w:rsidP="00DE47FB">
      <w:pPr>
        <w:jc w:val="both"/>
        <w:rPr>
          <w:sz w:val="28"/>
          <w:szCs w:val="28"/>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AF5437" w:rsidRDefault="00AF5437" w:rsidP="00DE47FB">
      <w:pPr>
        <w:jc w:val="both"/>
        <w:rPr>
          <w:sz w:val="24"/>
          <w:szCs w:val="24"/>
        </w:rPr>
      </w:pPr>
    </w:p>
    <w:p w:rsidR="001575F1" w:rsidRPr="001575F1" w:rsidRDefault="001575F1" w:rsidP="00DE47FB">
      <w:pPr>
        <w:jc w:val="both"/>
        <w:rPr>
          <w:sz w:val="24"/>
          <w:szCs w:val="24"/>
        </w:rPr>
      </w:pPr>
      <w:r w:rsidRPr="001575F1">
        <w:rPr>
          <w:sz w:val="24"/>
          <w:szCs w:val="24"/>
        </w:rPr>
        <w:t xml:space="preserve">17.11.2011. </w:t>
      </w:r>
      <w:r w:rsidR="00F77AB8">
        <w:rPr>
          <w:sz w:val="24"/>
          <w:szCs w:val="24"/>
        </w:rPr>
        <w:t>13:41</w:t>
      </w:r>
    </w:p>
    <w:p w:rsidR="001575F1" w:rsidRPr="001575F1" w:rsidRDefault="001575F1" w:rsidP="00DE47FB">
      <w:pPr>
        <w:jc w:val="both"/>
        <w:rPr>
          <w:sz w:val="24"/>
          <w:szCs w:val="24"/>
        </w:rPr>
      </w:pPr>
      <w:r w:rsidRPr="001575F1">
        <w:rPr>
          <w:sz w:val="24"/>
          <w:szCs w:val="24"/>
        </w:rPr>
        <w:t>1 </w:t>
      </w:r>
      <w:r w:rsidR="00054E13">
        <w:rPr>
          <w:sz w:val="24"/>
          <w:szCs w:val="24"/>
        </w:rPr>
        <w:t>206</w:t>
      </w:r>
    </w:p>
    <w:p w:rsidR="001575F1" w:rsidRDefault="001575F1" w:rsidP="00DE47FB">
      <w:pPr>
        <w:jc w:val="both"/>
        <w:rPr>
          <w:sz w:val="24"/>
          <w:szCs w:val="24"/>
        </w:rPr>
      </w:pPr>
      <w:r w:rsidRPr="001575F1">
        <w:rPr>
          <w:sz w:val="24"/>
          <w:szCs w:val="24"/>
        </w:rPr>
        <w:t>S.Riekstiņa</w:t>
      </w:r>
    </w:p>
    <w:p w:rsidR="001575F1" w:rsidRPr="001575F1" w:rsidRDefault="001575F1" w:rsidP="00DE47FB">
      <w:pPr>
        <w:jc w:val="both"/>
        <w:rPr>
          <w:sz w:val="24"/>
          <w:szCs w:val="24"/>
        </w:rPr>
      </w:pPr>
      <w:r>
        <w:rPr>
          <w:sz w:val="24"/>
          <w:szCs w:val="24"/>
        </w:rPr>
        <w:t>67876115, Silvija.Riekstina@vm.gov.lv</w:t>
      </w:r>
    </w:p>
    <w:p w:rsidR="001575F1" w:rsidRPr="00DE47FB" w:rsidRDefault="001575F1" w:rsidP="00DE47FB">
      <w:pPr>
        <w:jc w:val="both"/>
        <w:rPr>
          <w:sz w:val="28"/>
          <w:szCs w:val="28"/>
        </w:rPr>
      </w:pPr>
    </w:p>
    <w:sectPr w:rsidR="001575F1" w:rsidRPr="00DE47FB" w:rsidSect="009D48B7">
      <w:headerReference w:type="even" r:id="rId11"/>
      <w:headerReference w:type="default" r:id="rId12"/>
      <w:footerReference w:type="default" r:id="rId13"/>
      <w:footerReference w:type="first" r:id="rId14"/>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13" w:rsidRDefault="00054E13">
      <w:r>
        <w:separator/>
      </w:r>
    </w:p>
  </w:endnote>
  <w:endnote w:type="continuationSeparator" w:id="0">
    <w:p w:rsidR="00054E13" w:rsidRDefault="0005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3" w:rsidRPr="00146165" w:rsidRDefault="00054E13" w:rsidP="006E6ECC">
    <w:pPr>
      <w:pStyle w:val="Footer"/>
      <w:rPr>
        <w:sz w:val="22"/>
        <w:szCs w:val="22"/>
      </w:rPr>
    </w:pPr>
    <w:r w:rsidRPr="00C274C7">
      <w:rPr>
        <w:sz w:val="22"/>
        <w:szCs w:val="22"/>
      </w:rPr>
      <w:t>VMInf_</w:t>
    </w:r>
    <w:r>
      <w:rPr>
        <w:sz w:val="22"/>
        <w:szCs w:val="22"/>
      </w:rPr>
      <w:t>1711</w:t>
    </w:r>
    <w:r w:rsidRPr="00C274C7">
      <w:rPr>
        <w:sz w:val="22"/>
        <w:szCs w:val="22"/>
      </w:rPr>
      <w:t>11_ZIKS</w:t>
    </w:r>
    <w:r>
      <w:rPr>
        <w:sz w:val="22"/>
        <w:szCs w:val="22"/>
      </w:rPr>
      <w:t xml:space="preserve"> cenas</w:t>
    </w:r>
    <w:r w:rsidRPr="00C274C7">
      <w:rPr>
        <w:sz w:val="22"/>
        <w:szCs w:val="22"/>
      </w:rPr>
      <w:t xml:space="preserve">; </w:t>
    </w:r>
    <w:bookmarkStart w:id="0" w:name="OLE_LINK1"/>
    <w:bookmarkStart w:id="1" w:name="OLE_LINK2"/>
    <w:r w:rsidRPr="00C274C7">
      <w:rPr>
        <w:sz w:val="22"/>
        <w:szCs w:val="22"/>
      </w:rPr>
      <w:t xml:space="preserve">Informatīvais ziņojums par </w:t>
    </w:r>
    <w:r>
      <w:rPr>
        <w:sz w:val="22"/>
        <w:szCs w:val="22"/>
      </w:rPr>
      <w:t>lētākās cenas zāļu izvēles procedūru</w:t>
    </w:r>
    <w:bookmarkEnd w:id="0"/>
    <w:bookmarkEnd w:id="1"/>
  </w:p>
  <w:p w:rsidR="00054E13" w:rsidRPr="006E6ECC" w:rsidRDefault="00054E13" w:rsidP="006E6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3" w:rsidRDefault="00054E13">
    <w:pPr>
      <w:pStyle w:val="Footer"/>
      <w:rPr>
        <w:sz w:val="22"/>
        <w:szCs w:val="22"/>
      </w:rPr>
    </w:pPr>
  </w:p>
  <w:p w:rsidR="00054E13" w:rsidRPr="00C6065B" w:rsidRDefault="00054E13" w:rsidP="00C6065B">
    <w:pPr>
      <w:rPr>
        <w:bCs/>
        <w:color w:val="000000"/>
        <w:sz w:val="22"/>
        <w:szCs w:val="22"/>
      </w:rPr>
    </w:pPr>
    <w:r w:rsidRPr="00146165">
      <w:rPr>
        <w:rStyle w:val="Strong"/>
        <w:b w:val="0"/>
        <w:color w:val="000000"/>
        <w:sz w:val="22"/>
        <w:szCs w:val="22"/>
        <w:vertAlign w:val="superscript"/>
      </w:rPr>
      <w:t xml:space="preserve">1 </w:t>
    </w:r>
    <w:hyperlink r:id="rId1" w:history="1">
      <w:r w:rsidRPr="00146165">
        <w:rPr>
          <w:rStyle w:val="Hyperlink"/>
          <w:sz w:val="22"/>
          <w:szCs w:val="22"/>
        </w:rPr>
        <w:t>http://ec.europa.eu/competition/sectors/pharmaceuticals /</w:t>
      </w:r>
      <w:proofErr w:type="spellStart"/>
      <w:r w:rsidRPr="00146165">
        <w:rPr>
          <w:rStyle w:val="Hyperlink"/>
          <w:sz w:val="22"/>
          <w:szCs w:val="22"/>
        </w:rPr>
        <w:t>inquiry</w:t>
      </w:r>
      <w:proofErr w:type="spellEnd"/>
      <w:r w:rsidRPr="00146165">
        <w:rPr>
          <w:rStyle w:val="Hyperlink"/>
          <w:sz w:val="22"/>
          <w:szCs w:val="22"/>
        </w:rPr>
        <w:t>/</w:t>
      </w:r>
      <w:proofErr w:type="spellStart"/>
      <w:r w:rsidRPr="00146165">
        <w:rPr>
          <w:rStyle w:val="Hyperlink"/>
          <w:sz w:val="22"/>
          <w:szCs w:val="22"/>
        </w:rPr>
        <w:t>communication_lv.pdf</w:t>
      </w:r>
      <w:proofErr w:type="spellEnd"/>
    </w:hyperlink>
  </w:p>
  <w:p w:rsidR="00054E13" w:rsidRDefault="00054E13">
    <w:pPr>
      <w:pStyle w:val="Footer"/>
      <w:rPr>
        <w:sz w:val="22"/>
        <w:szCs w:val="22"/>
      </w:rPr>
    </w:pPr>
  </w:p>
  <w:p w:rsidR="00054E13" w:rsidRPr="00146165" w:rsidRDefault="00054E13">
    <w:pPr>
      <w:pStyle w:val="Footer"/>
      <w:rPr>
        <w:sz w:val="22"/>
        <w:szCs w:val="22"/>
      </w:rPr>
    </w:pPr>
    <w:r w:rsidRPr="00C274C7">
      <w:rPr>
        <w:sz w:val="22"/>
        <w:szCs w:val="22"/>
      </w:rPr>
      <w:t>VMInf_</w:t>
    </w:r>
    <w:r>
      <w:rPr>
        <w:sz w:val="22"/>
        <w:szCs w:val="22"/>
      </w:rPr>
      <w:t>1711</w:t>
    </w:r>
    <w:r w:rsidRPr="00C274C7">
      <w:rPr>
        <w:sz w:val="22"/>
        <w:szCs w:val="22"/>
      </w:rPr>
      <w:t>11_ZIKS</w:t>
    </w:r>
    <w:r>
      <w:rPr>
        <w:sz w:val="22"/>
        <w:szCs w:val="22"/>
      </w:rPr>
      <w:t xml:space="preserve"> cenas</w:t>
    </w:r>
    <w:r w:rsidRPr="00C274C7">
      <w:rPr>
        <w:sz w:val="22"/>
        <w:szCs w:val="22"/>
      </w:rPr>
      <w:t xml:space="preserve">; Informatīvais ziņojums par </w:t>
    </w:r>
    <w:r>
      <w:rPr>
        <w:sz w:val="22"/>
        <w:szCs w:val="22"/>
      </w:rPr>
      <w:t>lētākās cenas zāļu izvēles procedūru</w:t>
    </w:r>
  </w:p>
  <w:p w:rsidR="00054E13" w:rsidRPr="00146165" w:rsidRDefault="00054E13">
    <w:pPr>
      <w:pStyle w:val="Footer"/>
      <w:rPr>
        <w:sz w:val="22"/>
        <w:szCs w:val="22"/>
      </w:rPr>
    </w:pPr>
  </w:p>
  <w:p w:rsidR="00054E13" w:rsidRDefault="00054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13" w:rsidRDefault="00054E13">
      <w:r>
        <w:separator/>
      </w:r>
    </w:p>
  </w:footnote>
  <w:footnote w:type="continuationSeparator" w:id="0">
    <w:p w:rsidR="00054E13" w:rsidRDefault="00054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3" w:rsidRDefault="00952D49" w:rsidP="00965C76">
    <w:pPr>
      <w:pStyle w:val="Header"/>
      <w:framePr w:wrap="around" w:vAnchor="text" w:hAnchor="margin" w:xAlign="center" w:y="1"/>
      <w:rPr>
        <w:rStyle w:val="PageNumber"/>
      </w:rPr>
    </w:pPr>
    <w:r>
      <w:rPr>
        <w:rStyle w:val="PageNumber"/>
      </w:rPr>
      <w:fldChar w:fldCharType="begin"/>
    </w:r>
    <w:r w:rsidR="00054E13">
      <w:rPr>
        <w:rStyle w:val="PageNumber"/>
      </w:rPr>
      <w:instrText xml:space="preserve">PAGE  </w:instrText>
    </w:r>
    <w:r>
      <w:rPr>
        <w:rStyle w:val="PageNumber"/>
      </w:rPr>
      <w:fldChar w:fldCharType="separate"/>
    </w:r>
    <w:r w:rsidR="00054E13">
      <w:rPr>
        <w:rStyle w:val="PageNumber"/>
        <w:noProof/>
      </w:rPr>
      <w:t>1</w:t>
    </w:r>
    <w:r>
      <w:rPr>
        <w:rStyle w:val="PageNumber"/>
      </w:rPr>
      <w:fldChar w:fldCharType="end"/>
    </w:r>
  </w:p>
  <w:p w:rsidR="00054E13" w:rsidRDefault="00054E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13" w:rsidRDefault="00952D49" w:rsidP="00A34BE6">
    <w:pPr>
      <w:pStyle w:val="Header"/>
      <w:framePr w:wrap="around" w:vAnchor="text" w:hAnchor="margin" w:xAlign="center" w:y="1"/>
      <w:rPr>
        <w:rStyle w:val="PageNumber"/>
      </w:rPr>
    </w:pPr>
    <w:r>
      <w:rPr>
        <w:rStyle w:val="PageNumber"/>
      </w:rPr>
      <w:fldChar w:fldCharType="begin"/>
    </w:r>
    <w:r w:rsidR="00054E13">
      <w:rPr>
        <w:rStyle w:val="PageNumber"/>
      </w:rPr>
      <w:instrText xml:space="preserve">PAGE  </w:instrText>
    </w:r>
    <w:r>
      <w:rPr>
        <w:rStyle w:val="PageNumber"/>
      </w:rPr>
      <w:fldChar w:fldCharType="separate"/>
    </w:r>
    <w:r w:rsidR="00F77AB8">
      <w:rPr>
        <w:rStyle w:val="PageNumber"/>
        <w:noProof/>
      </w:rPr>
      <w:t>5</w:t>
    </w:r>
    <w:r>
      <w:rPr>
        <w:rStyle w:val="PageNumber"/>
      </w:rPr>
      <w:fldChar w:fldCharType="end"/>
    </w:r>
  </w:p>
  <w:p w:rsidR="00054E13" w:rsidRDefault="00054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073"/>
    <w:multiLevelType w:val="hybridMultilevel"/>
    <w:tmpl w:val="CCC42AB2"/>
    <w:lvl w:ilvl="0" w:tplc="7BECA3A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C9693E"/>
    <w:multiLevelType w:val="hybridMultilevel"/>
    <w:tmpl w:val="5164EE7A"/>
    <w:lvl w:ilvl="0" w:tplc="32B497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663F70"/>
    <w:multiLevelType w:val="hybridMultilevel"/>
    <w:tmpl w:val="E11A217E"/>
    <w:lvl w:ilvl="0" w:tplc="6480FE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FF24D9C"/>
    <w:multiLevelType w:val="hybridMultilevel"/>
    <w:tmpl w:val="CF627472"/>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82324A"/>
    <w:multiLevelType w:val="hybridMultilevel"/>
    <w:tmpl w:val="6BFAC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640B29"/>
    <w:multiLevelType w:val="hybridMultilevel"/>
    <w:tmpl w:val="4EF8D7F4"/>
    <w:lvl w:ilvl="0" w:tplc="FC7E0B9A">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C3232D5"/>
    <w:multiLevelType w:val="multilevel"/>
    <w:tmpl w:val="82C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77131"/>
    <w:multiLevelType w:val="hybridMultilevel"/>
    <w:tmpl w:val="AFB434DA"/>
    <w:lvl w:ilvl="0" w:tplc="64CEA9BA">
      <w:start w:val="1"/>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8">
    <w:nsid w:val="33382982"/>
    <w:multiLevelType w:val="hybridMultilevel"/>
    <w:tmpl w:val="182A809E"/>
    <w:lvl w:ilvl="0" w:tplc="F90A93D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345616D6"/>
    <w:multiLevelType w:val="hybridMultilevel"/>
    <w:tmpl w:val="CBFE8520"/>
    <w:lvl w:ilvl="0" w:tplc="5560B836">
      <w:start w:val="1"/>
      <w:numFmt w:val="decimal"/>
      <w:lvlText w:val="%1)"/>
      <w:lvlJc w:val="left"/>
      <w:pPr>
        <w:ind w:left="720" w:hanging="360"/>
      </w:pPr>
      <w:rPr>
        <w:rFonts w:ascii="Times New Roman" w:eastAsia="Times New Roman" w:hAnsi="Times New Roman" w:cs="Times New Roman"/>
      </w:rPr>
    </w:lvl>
    <w:lvl w:ilvl="1" w:tplc="DCEA814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56B7EDD"/>
    <w:multiLevelType w:val="hybridMultilevel"/>
    <w:tmpl w:val="6C90576A"/>
    <w:lvl w:ilvl="0" w:tplc="F22C0B66">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99E23EA"/>
    <w:multiLevelType w:val="hybridMultilevel"/>
    <w:tmpl w:val="2726423E"/>
    <w:lvl w:ilvl="0" w:tplc="0426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0857562"/>
    <w:multiLevelType w:val="hybridMultilevel"/>
    <w:tmpl w:val="A7CCBC72"/>
    <w:lvl w:ilvl="0" w:tplc="04260001">
      <w:start w:val="1"/>
      <w:numFmt w:val="bullet"/>
      <w:lvlText w:val=""/>
      <w:lvlJc w:val="left"/>
      <w:pPr>
        <w:tabs>
          <w:tab w:val="num" w:pos="1440"/>
        </w:tabs>
        <w:ind w:left="1440" w:hanging="360"/>
      </w:pPr>
      <w:rPr>
        <w:rFonts w:ascii="Symbol" w:hAnsi="Symbol" w:hint="default"/>
      </w:rPr>
    </w:lvl>
    <w:lvl w:ilvl="1" w:tplc="99524C98">
      <w:start w:val="1"/>
      <w:numFmt w:val="bullet"/>
      <w:lvlText w:val="–"/>
      <w:lvlJc w:val="left"/>
      <w:pPr>
        <w:tabs>
          <w:tab w:val="num" w:pos="2160"/>
        </w:tabs>
        <w:ind w:left="2160" w:hanging="360"/>
      </w:pPr>
      <w:rPr>
        <w:rFonts w:ascii="Times New Roman" w:hAnsi="Times New Roman" w:cs="Times New Roman" w:hint="default"/>
        <w:color w:val="auto"/>
        <w:sz w:val="32"/>
        <w:szCs w:val="32"/>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3">
    <w:nsid w:val="51FE4B59"/>
    <w:multiLevelType w:val="hybridMultilevel"/>
    <w:tmpl w:val="E02447C0"/>
    <w:lvl w:ilvl="0" w:tplc="2CF071A0">
      <w:start w:val="1"/>
      <w:numFmt w:val="decimal"/>
      <w:lvlText w:val="%1)"/>
      <w:lvlJc w:val="left"/>
      <w:pPr>
        <w:tabs>
          <w:tab w:val="num" w:pos="1080"/>
        </w:tabs>
        <w:ind w:left="1080" w:hanging="360"/>
      </w:pPr>
      <w:rPr>
        <w:rFonts w:hint="default"/>
      </w:rPr>
    </w:lvl>
    <w:lvl w:ilvl="1" w:tplc="04260001">
      <w:start w:val="1"/>
      <w:numFmt w:val="bullet"/>
      <w:lvlText w:val=""/>
      <w:lvlJc w:val="left"/>
      <w:pPr>
        <w:tabs>
          <w:tab w:val="num" w:pos="1800"/>
        </w:tabs>
        <w:ind w:left="1800" w:hanging="360"/>
      </w:pPr>
      <w:rPr>
        <w:rFonts w:ascii="Symbol" w:hAnsi="Symbol" w:hint="default"/>
      </w:rPr>
    </w:lvl>
    <w:lvl w:ilvl="2" w:tplc="9FE21C16">
      <w:start w:val="1"/>
      <w:numFmt w:val="decimal"/>
      <w:lvlText w:val="%3."/>
      <w:lvlJc w:val="left"/>
      <w:pPr>
        <w:tabs>
          <w:tab w:val="num" w:pos="3450"/>
        </w:tabs>
        <w:ind w:left="3450" w:hanging="1110"/>
      </w:pPr>
      <w:rPr>
        <w:rFonts w:hint="default"/>
      </w:rPr>
    </w:lvl>
    <w:lvl w:ilvl="3" w:tplc="24985FE4">
      <w:numFmt w:val="bullet"/>
      <w:lvlText w:val="–"/>
      <w:lvlJc w:val="left"/>
      <w:pPr>
        <w:tabs>
          <w:tab w:val="num" w:pos="3240"/>
        </w:tabs>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520137FD"/>
    <w:multiLevelType w:val="hybridMultilevel"/>
    <w:tmpl w:val="50D42EAA"/>
    <w:lvl w:ilvl="0" w:tplc="72269A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52F00D7C"/>
    <w:multiLevelType w:val="hybridMultilevel"/>
    <w:tmpl w:val="CC42BA4C"/>
    <w:lvl w:ilvl="0" w:tplc="DCEA814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A4A136C"/>
    <w:multiLevelType w:val="hybridMultilevel"/>
    <w:tmpl w:val="CB3E9630"/>
    <w:lvl w:ilvl="0" w:tplc="3BBE4F3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5BCA2993"/>
    <w:multiLevelType w:val="hybridMultilevel"/>
    <w:tmpl w:val="87D0D018"/>
    <w:lvl w:ilvl="0" w:tplc="6186AC9A">
      <w:start w:val="7"/>
      <w:numFmt w:val="bullet"/>
      <w:lvlText w:val="-"/>
      <w:lvlJc w:val="left"/>
      <w:pPr>
        <w:tabs>
          <w:tab w:val="num" w:pos="720"/>
        </w:tabs>
        <w:ind w:left="720" w:hanging="360"/>
      </w:pPr>
      <w:rPr>
        <w:rFonts w:ascii="Times New Roman" w:eastAsia="Times New Roman" w:hAnsi="Times New Roman" w:cs="Times New Roman" w:hint="default"/>
        <w:sz w:val="24"/>
      </w:rPr>
    </w:lvl>
    <w:lvl w:ilvl="1" w:tplc="B6C67466">
      <w:start w:val="7"/>
      <w:numFmt w:val="bullet"/>
      <w:lvlText w:val=""/>
      <w:lvlJc w:val="left"/>
      <w:pPr>
        <w:tabs>
          <w:tab w:val="num" w:pos="1440"/>
        </w:tabs>
        <w:ind w:left="1440" w:hanging="360"/>
      </w:pPr>
      <w:rPr>
        <w:rFonts w:ascii="Wingdings" w:eastAsia="Lucida Sans Unicode" w:hAnsi="Wingding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D875407"/>
    <w:multiLevelType w:val="hybridMultilevel"/>
    <w:tmpl w:val="E9EA4402"/>
    <w:lvl w:ilvl="0" w:tplc="8974A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ED26389"/>
    <w:multiLevelType w:val="hybridMultilevel"/>
    <w:tmpl w:val="B6C66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EFD5BD7"/>
    <w:multiLevelType w:val="hybridMultilevel"/>
    <w:tmpl w:val="B626741E"/>
    <w:lvl w:ilvl="0" w:tplc="028030CE">
      <w:start w:val="1"/>
      <w:numFmt w:val="decimal"/>
      <w:lvlText w:val="%1)"/>
      <w:lvlJc w:val="left"/>
      <w:pPr>
        <w:ind w:left="1080" w:hanging="360"/>
      </w:pPr>
      <w:rPr>
        <w:rFonts w:hint="default"/>
        <w:b w:val="0"/>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4F97FDD"/>
    <w:multiLevelType w:val="multilevel"/>
    <w:tmpl w:val="9E2EF1B2"/>
    <w:styleLink w:val="CurrentList1"/>
    <w:lvl w:ilvl="0">
      <w:start w:val="1"/>
      <w:numFmt w:val="bullet"/>
      <w:lvlText w:val="-"/>
      <w:lvlJc w:val="left"/>
      <w:pPr>
        <w:tabs>
          <w:tab w:val="num" w:pos="1800"/>
        </w:tabs>
        <w:ind w:left="180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672B2C19"/>
    <w:multiLevelType w:val="hybridMultilevel"/>
    <w:tmpl w:val="07047F7C"/>
    <w:lvl w:ilvl="0" w:tplc="4FDC017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2E632AA"/>
    <w:multiLevelType w:val="hybridMultilevel"/>
    <w:tmpl w:val="7396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965F6D"/>
    <w:multiLevelType w:val="hybridMultilevel"/>
    <w:tmpl w:val="7194AF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1"/>
  </w:num>
  <w:num w:numId="4">
    <w:abstractNumId w:val="17"/>
  </w:num>
  <w:num w:numId="5">
    <w:abstractNumId w:val="23"/>
  </w:num>
  <w:num w:numId="6">
    <w:abstractNumId w:val="3"/>
  </w:num>
  <w:num w:numId="7">
    <w:abstractNumId w:val="22"/>
  </w:num>
  <w:num w:numId="8">
    <w:abstractNumId w:val="13"/>
  </w:num>
  <w:num w:numId="9">
    <w:abstractNumId w:val="7"/>
  </w:num>
  <w:num w:numId="10">
    <w:abstractNumId w:val="12"/>
  </w:num>
  <w:num w:numId="11">
    <w:abstractNumId w:val="21"/>
  </w:num>
  <w:num w:numId="12">
    <w:abstractNumId w:val="16"/>
  </w:num>
  <w:num w:numId="13">
    <w:abstractNumId w:val="4"/>
  </w:num>
  <w:num w:numId="14">
    <w:abstractNumId w:val="24"/>
  </w:num>
  <w:num w:numId="15">
    <w:abstractNumId w:val="20"/>
  </w:num>
  <w:num w:numId="16">
    <w:abstractNumId w:val="0"/>
  </w:num>
  <w:num w:numId="17">
    <w:abstractNumId w:val="10"/>
  </w:num>
  <w:num w:numId="18">
    <w:abstractNumId w:val="14"/>
  </w:num>
  <w:num w:numId="19">
    <w:abstractNumId w:val="6"/>
  </w:num>
  <w:num w:numId="20">
    <w:abstractNumId w:val="19"/>
  </w:num>
  <w:num w:numId="21">
    <w:abstractNumId w:val="8"/>
  </w:num>
  <w:num w:numId="22">
    <w:abstractNumId w:val="5"/>
  </w:num>
  <w:num w:numId="23">
    <w:abstractNumId w:val="2"/>
  </w:num>
  <w:num w:numId="24">
    <w:abstractNumId w:val="1"/>
  </w:num>
  <w:num w:numId="25">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8534D"/>
    <w:rsid w:val="00000391"/>
    <w:rsid w:val="0000305D"/>
    <w:rsid w:val="000047D2"/>
    <w:rsid w:val="00006B93"/>
    <w:rsid w:val="0000716C"/>
    <w:rsid w:val="00010C69"/>
    <w:rsid w:val="00013ED8"/>
    <w:rsid w:val="00025653"/>
    <w:rsid w:val="000268EE"/>
    <w:rsid w:val="00037154"/>
    <w:rsid w:val="00041A75"/>
    <w:rsid w:val="0005487B"/>
    <w:rsid w:val="00054E13"/>
    <w:rsid w:val="00065C8D"/>
    <w:rsid w:val="000761DF"/>
    <w:rsid w:val="00076D04"/>
    <w:rsid w:val="00077317"/>
    <w:rsid w:val="0008200B"/>
    <w:rsid w:val="00083B1E"/>
    <w:rsid w:val="00091110"/>
    <w:rsid w:val="00091F0A"/>
    <w:rsid w:val="00092350"/>
    <w:rsid w:val="000A2F9C"/>
    <w:rsid w:val="000B0747"/>
    <w:rsid w:val="000B362F"/>
    <w:rsid w:val="000B7AF8"/>
    <w:rsid w:val="000C6021"/>
    <w:rsid w:val="000C713A"/>
    <w:rsid w:val="000D1BC3"/>
    <w:rsid w:val="000D29FF"/>
    <w:rsid w:val="000D5081"/>
    <w:rsid w:val="000E20CA"/>
    <w:rsid w:val="000E2B98"/>
    <w:rsid w:val="000E5F47"/>
    <w:rsid w:val="000F439B"/>
    <w:rsid w:val="000F59CF"/>
    <w:rsid w:val="000F61A2"/>
    <w:rsid w:val="000F71A8"/>
    <w:rsid w:val="00105AC7"/>
    <w:rsid w:val="00106B9D"/>
    <w:rsid w:val="0011111F"/>
    <w:rsid w:val="00115B6A"/>
    <w:rsid w:val="00125BA1"/>
    <w:rsid w:val="001302B5"/>
    <w:rsid w:val="0013670B"/>
    <w:rsid w:val="0013768C"/>
    <w:rsid w:val="001419A7"/>
    <w:rsid w:val="00146165"/>
    <w:rsid w:val="00152AFA"/>
    <w:rsid w:val="001575F1"/>
    <w:rsid w:val="00174003"/>
    <w:rsid w:val="001825C8"/>
    <w:rsid w:val="001826F5"/>
    <w:rsid w:val="001830D0"/>
    <w:rsid w:val="001855C5"/>
    <w:rsid w:val="0019372E"/>
    <w:rsid w:val="001959F9"/>
    <w:rsid w:val="0019777A"/>
    <w:rsid w:val="001A0140"/>
    <w:rsid w:val="001A353C"/>
    <w:rsid w:val="001A5395"/>
    <w:rsid w:val="001A7FE9"/>
    <w:rsid w:val="001B1CBD"/>
    <w:rsid w:val="001D5815"/>
    <w:rsid w:val="001E232A"/>
    <w:rsid w:val="001F37B2"/>
    <w:rsid w:val="001F4392"/>
    <w:rsid w:val="001F6BA2"/>
    <w:rsid w:val="001F7787"/>
    <w:rsid w:val="00206955"/>
    <w:rsid w:val="00206F34"/>
    <w:rsid w:val="0020717E"/>
    <w:rsid w:val="00211CCD"/>
    <w:rsid w:val="00216694"/>
    <w:rsid w:val="00224448"/>
    <w:rsid w:val="00226A5F"/>
    <w:rsid w:val="002319D9"/>
    <w:rsid w:val="00246513"/>
    <w:rsid w:val="002611F1"/>
    <w:rsid w:val="002722A0"/>
    <w:rsid w:val="00273769"/>
    <w:rsid w:val="00276C04"/>
    <w:rsid w:val="00281480"/>
    <w:rsid w:val="00296252"/>
    <w:rsid w:val="00296D6E"/>
    <w:rsid w:val="00297BD1"/>
    <w:rsid w:val="002A62F2"/>
    <w:rsid w:val="002A66B9"/>
    <w:rsid w:val="002B1143"/>
    <w:rsid w:val="002C24DB"/>
    <w:rsid w:val="002C5ECF"/>
    <w:rsid w:val="002D17E2"/>
    <w:rsid w:val="00322F1A"/>
    <w:rsid w:val="00330355"/>
    <w:rsid w:val="00330FCD"/>
    <w:rsid w:val="00343150"/>
    <w:rsid w:val="00350474"/>
    <w:rsid w:val="00364EA3"/>
    <w:rsid w:val="0036501C"/>
    <w:rsid w:val="003729DA"/>
    <w:rsid w:val="003736A0"/>
    <w:rsid w:val="00380CD3"/>
    <w:rsid w:val="003864C7"/>
    <w:rsid w:val="0039465D"/>
    <w:rsid w:val="003963EB"/>
    <w:rsid w:val="00397B46"/>
    <w:rsid w:val="003B4828"/>
    <w:rsid w:val="003D0418"/>
    <w:rsid w:val="003D1E99"/>
    <w:rsid w:val="003E248A"/>
    <w:rsid w:val="003E53F8"/>
    <w:rsid w:val="003F1419"/>
    <w:rsid w:val="003F1A6C"/>
    <w:rsid w:val="003F7022"/>
    <w:rsid w:val="003F7489"/>
    <w:rsid w:val="004035A9"/>
    <w:rsid w:val="00403F57"/>
    <w:rsid w:val="00404AEE"/>
    <w:rsid w:val="00404C04"/>
    <w:rsid w:val="00404E21"/>
    <w:rsid w:val="00412912"/>
    <w:rsid w:val="0043431D"/>
    <w:rsid w:val="00440333"/>
    <w:rsid w:val="00443A84"/>
    <w:rsid w:val="00450D13"/>
    <w:rsid w:val="00451CB8"/>
    <w:rsid w:val="00453E25"/>
    <w:rsid w:val="004646CF"/>
    <w:rsid w:val="00464BC0"/>
    <w:rsid w:val="0047055C"/>
    <w:rsid w:val="00471213"/>
    <w:rsid w:val="00474643"/>
    <w:rsid w:val="0048059C"/>
    <w:rsid w:val="004852EE"/>
    <w:rsid w:val="004906D2"/>
    <w:rsid w:val="00490A8A"/>
    <w:rsid w:val="004966E0"/>
    <w:rsid w:val="004A1829"/>
    <w:rsid w:val="004A7558"/>
    <w:rsid w:val="004B0421"/>
    <w:rsid w:val="004C03A6"/>
    <w:rsid w:val="004C4B65"/>
    <w:rsid w:val="004E64BD"/>
    <w:rsid w:val="004F732E"/>
    <w:rsid w:val="005255E4"/>
    <w:rsid w:val="0053560C"/>
    <w:rsid w:val="00535E63"/>
    <w:rsid w:val="00542DE9"/>
    <w:rsid w:val="00545F79"/>
    <w:rsid w:val="00547B44"/>
    <w:rsid w:val="00551761"/>
    <w:rsid w:val="005603BB"/>
    <w:rsid w:val="00564BAD"/>
    <w:rsid w:val="005676C7"/>
    <w:rsid w:val="00575603"/>
    <w:rsid w:val="005804E1"/>
    <w:rsid w:val="00582877"/>
    <w:rsid w:val="00584730"/>
    <w:rsid w:val="00591533"/>
    <w:rsid w:val="005939E3"/>
    <w:rsid w:val="005A126C"/>
    <w:rsid w:val="005A5D80"/>
    <w:rsid w:val="005B528E"/>
    <w:rsid w:val="005B60E0"/>
    <w:rsid w:val="005C395B"/>
    <w:rsid w:val="005E235B"/>
    <w:rsid w:val="005E7CC8"/>
    <w:rsid w:val="005F3330"/>
    <w:rsid w:val="005F6CD6"/>
    <w:rsid w:val="0060270D"/>
    <w:rsid w:val="006029A4"/>
    <w:rsid w:val="00602DD8"/>
    <w:rsid w:val="00606163"/>
    <w:rsid w:val="00614288"/>
    <w:rsid w:val="00614FB6"/>
    <w:rsid w:val="00616432"/>
    <w:rsid w:val="0062540B"/>
    <w:rsid w:val="00627B2E"/>
    <w:rsid w:val="006343B8"/>
    <w:rsid w:val="00634A0B"/>
    <w:rsid w:val="0064539A"/>
    <w:rsid w:val="00662158"/>
    <w:rsid w:val="006646F4"/>
    <w:rsid w:val="006779FA"/>
    <w:rsid w:val="006836A8"/>
    <w:rsid w:val="006848CD"/>
    <w:rsid w:val="00687892"/>
    <w:rsid w:val="00690A15"/>
    <w:rsid w:val="00691163"/>
    <w:rsid w:val="006A31C5"/>
    <w:rsid w:val="006B477D"/>
    <w:rsid w:val="006C0536"/>
    <w:rsid w:val="006C6684"/>
    <w:rsid w:val="006C797C"/>
    <w:rsid w:val="006D5CB5"/>
    <w:rsid w:val="006D7C61"/>
    <w:rsid w:val="006E6ECC"/>
    <w:rsid w:val="006F161D"/>
    <w:rsid w:val="006F30FB"/>
    <w:rsid w:val="006F6DAB"/>
    <w:rsid w:val="006F7D00"/>
    <w:rsid w:val="007017DF"/>
    <w:rsid w:val="00701D76"/>
    <w:rsid w:val="00701FED"/>
    <w:rsid w:val="00705BD2"/>
    <w:rsid w:val="00725387"/>
    <w:rsid w:val="0072641B"/>
    <w:rsid w:val="00727F5B"/>
    <w:rsid w:val="00733B10"/>
    <w:rsid w:val="007418D9"/>
    <w:rsid w:val="00743743"/>
    <w:rsid w:val="00747DE1"/>
    <w:rsid w:val="007501A5"/>
    <w:rsid w:val="0075736A"/>
    <w:rsid w:val="0076626F"/>
    <w:rsid w:val="00772273"/>
    <w:rsid w:val="0077533C"/>
    <w:rsid w:val="0077637D"/>
    <w:rsid w:val="00787D2C"/>
    <w:rsid w:val="0079062A"/>
    <w:rsid w:val="007931D0"/>
    <w:rsid w:val="007964D1"/>
    <w:rsid w:val="007967C6"/>
    <w:rsid w:val="007A649A"/>
    <w:rsid w:val="007A6DAA"/>
    <w:rsid w:val="007C1FE5"/>
    <w:rsid w:val="007C5E08"/>
    <w:rsid w:val="007D2D3D"/>
    <w:rsid w:val="007D7F02"/>
    <w:rsid w:val="007E07D0"/>
    <w:rsid w:val="007F1F71"/>
    <w:rsid w:val="007F34E2"/>
    <w:rsid w:val="007F65F2"/>
    <w:rsid w:val="00802264"/>
    <w:rsid w:val="00803DDE"/>
    <w:rsid w:val="008324D8"/>
    <w:rsid w:val="00846449"/>
    <w:rsid w:val="0084646A"/>
    <w:rsid w:val="00854300"/>
    <w:rsid w:val="00863488"/>
    <w:rsid w:val="00872B74"/>
    <w:rsid w:val="008732FE"/>
    <w:rsid w:val="00880B82"/>
    <w:rsid w:val="0088128E"/>
    <w:rsid w:val="00884CEF"/>
    <w:rsid w:val="008A2AD7"/>
    <w:rsid w:val="008B1EBA"/>
    <w:rsid w:val="008B4563"/>
    <w:rsid w:val="008C712C"/>
    <w:rsid w:val="008E4886"/>
    <w:rsid w:val="008E5196"/>
    <w:rsid w:val="008E5483"/>
    <w:rsid w:val="008E5B19"/>
    <w:rsid w:val="008E7ABD"/>
    <w:rsid w:val="008E7D25"/>
    <w:rsid w:val="008F22F8"/>
    <w:rsid w:val="0090258E"/>
    <w:rsid w:val="00905A4C"/>
    <w:rsid w:val="00906C58"/>
    <w:rsid w:val="0091129E"/>
    <w:rsid w:val="00916F8C"/>
    <w:rsid w:val="00922EA8"/>
    <w:rsid w:val="00923030"/>
    <w:rsid w:val="0093728C"/>
    <w:rsid w:val="00942CB8"/>
    <w:rsid w:val="009466A8"/>
    <w:rsid w:val="00946C0D"/>
    <w:rsid w:val="00951DAD"/>
    <w:rsid w:val="00952D49"/>
    <w:rsid w:val="00953889"/>
    <w:rsid w:val="00957B85"/>
    <w:rsid w:val="00962229"/>
    <w:rsid w:val="009628CA"/>
    <w:rsid w:val="00965C76"/>
    <w:rsid w:val="00967A68"/>
    <w:rsid w:val="00970BB6"/>
    <w:rsid w:val="00977464"/>
    <w:rsid w:val="009809C6"/>
    <w:rsid w:val="00981FBB"/>
    <w:rsid w:val="00982491"/>
    <w:rsid w:val="009854C7"/>
    <w:rsid w:val="009862F1"/>
    <w:rsid w:val="009B4B71"/>
    <w:rsid w:val="009D48B7"/>
    <w:rsid w:val="009E094A"/>
    <w:rsid w:val="009E6CB0"/>
    <w:rsid w:val="009E6EA0"/>
    <w:rsid w:val="009F40E4"/>
    <w:rsid w:val="009F6E23"/>
    <w:rsid w:val="009F795F"/>
    <w:rsid w:val="00A01C4D"/>
    <w:rsid w:val="00A028FC"/>
    <w:rsid w:val="00A02DFD"/>
    <w:rsid w:val="00A0350A"/>
    <w:rsid w:val="00A11DC4"/>
    <w:rsid w:val="00A150D2"/>
    <w:rsid w:val="00A21E56"/>
    <w:rsid w:val="00A22B93"/>
    <w:rsid w:val="00A245B2"/>
    <w:rsid w:val="00A25676"/>
    <w:rsid w:val="00A34BE6"/>
    <w:rsid w:val="00A34F31"/>
    <w:rsid w:val="00A51E79"/>
    <w:rsid w:val="00A52329"/>
    <w:rsid w:val="00A564F7"/>
    <w:rsid w:val="00A63F21"/>
    <w:rsid w:val="00A67F19"/>
    <w:rsid w:val="00A71010"/>
    <w:rsid w:val="00A8226E"/>
    <w:rsid w:val="00A837A1"/>
    <w:rsid w:val="00A87F38"/>
    <w:rsid w:val="00A911E4"/>
    <w:rsid w:val="00A95CC1"/>
    <w:rsid w:val="00A96C8F"/>
    <w:rsid w:val="00A979CF"/>
    <w:rsid w:val="00AA0B48"/>
    <w:rsid w:val="00AA4834"/>
    <w:rsid w:val="00AB2512"/>
    <w:rsid w:val="00AC125E"/>
    <w:rsid w:val="00AD0CB3"/>
    <w:rsid w:val="00AF33F7"/>
    <w:rsid w:val="00AF5092"/>
    <w:rsid w:val="00AF5437"/>
    <w:rsid w:val="00AF7867"/>
    <w:rsid w:val="00B00980"/>
    <w:rsid w:val="00B01954"/>
    <w:rsid w:val="00B0226A"/>
    <w:rsid w:val="00B02753"/>
    <w:rsid w:val="00B23CFD"/>
    <w:rsid w:val="00B24E34"/>
    <w:rsid w:val="00B324B9"/>
    <w:rsid w:val="00B337DF"/>
    <w:rsid w:val="00B4651F"/>
    <w:rsid w:val="00B46BD2"/>
    <w:rsid w:val="00B5314E"/>
    <w:rsid w:val="00B55900"/>
    <w:rsid w:val="00B564EE"/>
    <w:rsid w:val="00B627A7"/>
    <w:rsid w:val="00B62922"/>
    <w:rsid w:val="00B63D8E"/>
    <w:rsid w:val="00B64404"/>
    <w:rsid w:val="00B653E5"/>
    <w:rsid w:val="00B7036E"/>
    <w:rsid w:val="00B7401B"/>
    <w:rsid w:val="00B926BD"/>
    <w:rsid w:val="00B9561D"/>
    <w:rsid w:val="00B960F3"/>
    <w:rsid w:val="00BA1972"/>
    <w:rsid w:val="00BA1B68"/>
    <w:rsid w:val="00BB3A4D"/>
    <w:rsid w:val="00BC11A4"/>
    <w:rsid w:val="00BC470A"/>
    <w:rsid w:val="00BC6B1E"/>
    <w:rsid w:val="00BE3795"/>
    <w:rsid w:val="00BE5D8B"/>
    <w:rsid w:val="00BF67D5"/>
    <w:rsid w:val="00C0704A"/>
    <w:rsid w:val="00C14F76"/>
    <w:rsid w:val="00C170E7"/>
    <w:rsid w:val="00C171C6"/>
    <w:rsid w:val="00C26C85"/>
    <w:rsid w:val="00C274C7"/>
    <w:rsid w:val="00C35952"/>
    <w:rsid w:val="00C36D1D"/>
    <w:rsid w:val="00C50900"/>
    <w:rsid w:val="00C535B1"/>
    <w:rsid w:val="00C6065B"/>
    <w:rsid w:val="00C63563"/>
    <w:rsid w:val="00C775A4"/>
    <w:rsid w:val="00C94304"/>
    <w:rsid w:val="00CA23EE"/>
    <w:rsid w:val="00CA6A3B"/>
    <w:rsid w:val="00CA6ABA"/>
    <w:rsid w:val="00CA7392"/>
    <w:rsid w:val="00CA78BB"/>
    <w:rsid w:val="00CB2550"/>
    <w:rsid w:val="00CB3A1B"/>
    <w:rsid w:val="00CB6928"/>
    <w:rsid w:val="00CC2062"/>
    <w:rsid w:val="00CC7884"/>
    <w:rsid w:val="00CE3D0D"/>
    <w:rsid w:val="00CF6BFA"/>
    <w:rsid w:val="00CF75D6"/>
    <w:rsid w:val="00D01298"/>
    <w:rsid w:val="00D04781"/>
    <w:rsid w:val="00D06ED4"/>
    <w:rsid w:val="00D072DE"/>
    <w:rsid w:val="00D12669"/>
    <w:rsid w:val="00D14CA9"/>
    <w:rsid w:val="00D34A51"/>
    <w:rsid w:val="00D40C55"/>
    <w:rsid w:val="00D47D19"/>
    <w:rsid w:val="00D5360D"/>
    <w:rsid w:val="00D6317A"/>
    <w:rsid w:val="00D63E0C"/>
    <w:rsid w:val="00D63FA8"/>
    <w:rsid w:val="00D64BCE"/>
    <w:rsid w:val="00D705B0"/>
    <w:rsid w:val="00D74877"/>
    <w:rsid w:val="00D81EF8"/>
    <w:rsid w:val="00D843BA"/>
    <w:rsid w:val="00D926B9"/>
    <w:rsid w:val="00D95993"/>
    <w:rsid w:val="00D97A57"/>
    <w:rsid w:val="00DA289E"/>
    <w:rsid w:val="00DA2B86"/>
    <w:rsid w:val="00DA3731"/>
    <w:rsid w:val="00DB45F4"/>
    <w:rsid w:val="00DD344C"/>
    <w:rsid w:val="00DD7B03"/>
    <w:rsid w:val="00DD7D0D"/>
    <w:rsid w:val="00DE2DB0"/>
    <w:rsid w:val="00DE47FB"/>
    <w:rsid w:val="00E10684"/>
    <w:rsid w:val="00E12786"/>
    <w:rsid w:val="00E12C32"/>
    <w:rsid w:val="00E1303F"/>
    <w:rsid w:val="00E13EC5"/>
    <w:rsid w:val="00E240D1"/>
    <w:rsid w:val="00E25A43"/>
    <w:rsid w:val="00E275F5"/>
    <w:rsid w:val="00E32E02"/>
    <w:rsid w:val="00E33AF4"/>
    <w:rsid w:val="00E34FB1"/>
    <w:rsid w:val="00E61BBF"/>
    <w:rsid w:val="00E63CB0"/>
    <w:rsid w:val="00E6537B"/>
    <w:rsid w:val="00E67F5E"/>
    <w:rsid w:val="00E8534D"/>
    <w:rsid w:val="00E90FFA"/>
    <w:rsid w:val="00E9703A"/>
    <w:rsid w:val="00EA008D"/>
    <w:rsid w:val="00EA7B2C"/>
    <w:rsid w:val="00EC4B04"/>
    <w:rsid w:val="00F2541E"/>
    <w:rsid w:val="00F32029"/>
    <w:rsid w:val="00F3568A"/>
    <w:rsid w:val="00F4189F"/>
    <w:rsid w:val="00F43E82"/>
    <w:rsid w:val="00F455D6"/>
    <w:rsid w:val="00F5032D"/>
    <w:rsid w:val="00F51A44"/>
    <w:rsid w:val="00F728EB"/>
    <w:rsid w:val="00F72C2C"/>
    <w:rsid w:val="00F73841"/>
    <w:rsid w:val="00F73D9A"/>
    <w:rsid w:val="00F77AB8"/>
    <w:rsid w:val="00F94AEB"/>
    <w:rsid w:val="00F96DF5"/>
    <w:rsid w:val="00FA797C"/>
    <w:rsid w:val="00FB200C"/>
    <w:rsid w:val="00FB2CC0"/>
    <w:rsid w:val="00FC08DC"/>
    <w:rsid w:val="00FC3635"/>
    <w:rsid w:val="00FC699C"/>
    <w:rsid w:val="00FD4D4D"/>
    <w:rsid w:val="00FE1B06"/>
    <w:rsid w:val="00FF5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29"/>
    <w:rPr>
      <w:lang w:val="lv-LV"/>
    </w:rPr>
  </w:style>
  <w:style w:type="paragraph" w:styleId="Heading1">
    <w:name w:val="heading 1"/>
    <w:basedOn w:val="Normal"/>
    <w:next w:val="Normal"/>
    <w:qFormat/>
    <w:rsid w:val="00962229"/>
    <w:pPr>
      <w:keepNext/>
      <w:jc w:val="center"/>
      <w:outlineLvl w:val="0"/>
    </w:pPr>
    <w:rPr>
      <w:b/>
      <w:sz w:val="32"/>
    </w:rPr>
  </w:style>
  <w:style w:type="paragraph" w:styleId="Heading2">
    <w:name w:val="heading 2"/>
    <w:basedOn w:val="Normal"/>
    <w:next w:val="Normal"/>
    <w:qFormat/>
    <w:rsid w:val="00962229"/>
    <w:pPr>
      <w:keepNext/>
      <w:jc w:val="right"/>
      <w:outlineLvl w:val="1"/>
    </w:pPr>
    <w:rPr>
      <w:sz w:val="28"/>
      <w:szCs w:val="28"/>
    </w:rPr>
  </w:style>
  <w:style w:type="paragraph" w:styleId="Heading3">
    <w:name w:val="heading 3"/>
    <w:basedOn w:val="Normal"/>
    <w:next w:val="Normal"/>
    <w:qFormat/>
    <w:rsid w:val="00962229"/>
    <w:pPr>
      <w:keepNext/>
      <w:outlineLvl w:val="2"/>
    </w:pPr>
    <w:rPr>
      <w:i/>
      <w:iCs/>
      <w:sz w:val="28"/>
    </w:rPr>
  </w:style>
  <w:style w:type="paragraph" w:styleId="Heading4">
    <w:name w:val="heading 4"/>
    <w:basedOn w:val="Normal"/>
    <w:next w:val="Normal"/>
    <w:qFormat/>
    <w:rsid w:val="00DD344C"/>
    <w:pPr>
      <w:keepNext/>
      <w:spacing w:before="240" w:after="60"/>
      <w:outlineLvl w:val="3"/>
    </w:pPr>
    <w:rPr>
      <w:b/>
      <w:bCs/>
      <w:sz w:val="28"/>
      <w:szCs w:val="28"/>
      <w:lang w:eastAsia="lv-LV"/>
    </w:rPr>
  </w:style>
  <w:style w:type="paragraph" w:styleId="Heading5">
    <w:name w:val="heading 5"/>
    <w:basedOn w:val="Normal"/>
    <w:next w:val="Normal"/>
    <w:qFormat/>
    <w:rsid w:val="00DD344C"/>
    <w:pPr>
      <w:spacing w:before="240" w:after="60"/>
      <w:outlineLvl w:val="4"/>
    </w:pPr>
    <w:rPr>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2229"/>
    <w:pPr>
      <w:jc w:val="both"/>
    </w:pPr>
    <w:rPr>
      <w:sz w:val="28"/>
    </w:rPr>
  </w:style>
  <w:style w:type="paragraph" w:styleId="Header">
    <w:name w:val="header"/>
    <w:basedOn w:val="Normal"/>
    <w:rsid w:val="00965C76"/>
    <w:pPr>
      <w:tabs>
        <w:tab w:val="center" w:pos="4320"/>
        <w:tab w:val="right" w:pos="8640"/>
      </w:tabs>
    </w:pPr>
  </w:style>
  <w:style w:type="character" w:styleId="Hyperlink">
    <w:name w:val="Hyperlink"/>
    <w:basedOn w:val="DefaultParagraphFont"/>
    <w:rsid w:val="00965C76"/>
    <w:rPr>
      <w:color w:val="0000FF"/>
      <w:u w:val="single"/>
    </w:rPr>
  </w:style>
  <w:style w:type="character" w:styleId="PageNumber">
    <w:name w:val="page number"/>
    <w:basedOn w:val="DefaultParagraphFont"/>
    <w:rsid w:val="00965C76"/>
  </w:style>
  <w:style w:type="paragraph" w:styleId="Footer">
    <w:name w:val="footer"/>
    <w:basedOn w:val="Normal"/>
    <w:link w:val="FooterChar"/>
    <w:uiPriority w:val="99"/>
    <w:rsid w:val="00965C76"/>
    <w:pPr>
      <w:tabs>
        <w:tab w:val="center" w:pos="4153"/>
        <w:tab w:val="right" w:pos="8306"/>
      </w:tabs>
    </w:pPr>
  </w:style>
  <w:style w:type="table" w:styleId="TableGrid">
    <w:name w:val="Table Grid"/>
    <w:basedOn w:val="TableNormal"/>
    <w:rsid w:val="00404A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rsid w:val="00A11DC4"/>
    <w:pPr>
      <w:spacing w:before="100" w:beforeAutospacing="1" w:after="100" w:afterAutospacing="1"/>
    </w:pPr>
    <w:rPr>
      <w:sz w:val="24"/>
      <w:szCs w:val="24"/>
      <w:lang w:eastAsia="lv-LV"/>
    </w:rPr>
  </w:style>
  <w:style w:type="character" w:customStyle="1" w:styleId="FooterChar">
    <w:name w:val="Footer Char"/>
    <w:basedOn w:val="DefaultParagraphFont"/>
    <w:link w:val="Footer"/>
    <w:uiPriority w:val="99"/>
    <w:rsid w:val="00206F34"/>
    <w:rPr>
      <w:lang w:eastAsia="en-US"/>
    </w:rPr>
  </w:style>
  <w:style w:type="paragraph" w:styleId="BalloonText">
    <w:name w:val="Balloon Text"/>
    <w:basedOn w:val="Normal"/>
    <w:link w:val="BalloonTextChar"/>
    <w:rsid w:val="00206F34"/>
    <w:rPr>
      <w:rFonts w:ascii="Tahoma" w:hAnsi="Tahoma" w:cs="Tahoma"/>
      <w:sz w:val="16"/>
      <w:szCs w:val="16"/>
    </w:rPr>
  </w:style>
  <w:style w:type="character" w:customStyle="1" w:styleId="BalloonTextChar">
    <w:name w:val="Balloon Text Char"/>
    <w:basedOn w:val="DefaultParagraphFont"/>
    <w:link w:val="BalloonText"/>
    <w:rsid w:val="00206F34"/>
    <w:rPr>
      <w:rFonts w:ascii="Tahoma" w:hAnsi="Tahoma" w:cs="Tahoma"/>
      <w:sz w:val="16"/>
      <w:szCs w:val="16"/>
      <w:lang w:eastAsia="en-US"/>
    </w:rPr>
  </w:style>
  <w:style w:type="paragraph" w:styleId="NormalWeb">
    <w:name w:val="Normal (Web)"/>
    <w:basedOn w:val="Normal"/>
    <w:uiPriority w:val="99"/>
    <w:unhideWhenUsed/>
    <w:rsid w:val="00FB200C"/>
    <w:pPr>
      <w:spacing w:before="100" w:beforeAutospacing="1" w:after="100" w:afterAutospacing="1"/>
    </w:pPr>
    <w:rPr>
      <w:sz w:val="24"/>
      <w:szCs w:val="24"/>
      <w:lang w:eastAsia="lv-LV"/>
    </w:rPr>
  </w:style>
  <w:style w:type="character" w:styleId="IntenseEmphasis">
    <w:name w:val="Intense Emphasis"/>
    <w:basedOn w:val="DefaultParagraphFont"/>
    <w:uiPriority w:val="21"/>
    <w:qFormat/>
    <w:rsid w:val="007F34E2"/>
    <w:rPr>
      <w:b/>
      <w:bCs/>
      <w:i/>
      <w:iCs/>
      <w:color w:val="4F81BD"/>
    </w:rPr>
  </w:style>
  <w:style w:type="character" w:customStyle="1" w:styleId="at2">
    <w:name w:val="a__t2"/>
    <w:basedOn w:val="DefaultParagraphFont"/>
    <w:rsid w:val="005B528E"/>
  </w:style>
  <w:style w:type="character" w:customStyle="1" w:styleId="at3">
    <w:name w:val="a__t3"/>
    <w:basedOn w:val="DefaultParagraphFont"/>
    <w:rsid w:val="005B528E"/>
  </w:style>
  <w:style w:type="paragraph" w:styleId="ListParagraph">
    <w:name w:val="List Paragraph"/>
    <w:basedOn w:val="Normal"/>
    <w:uiPriority w:val="34"/>
    <w:qFormat/>
    <w:rsid w:val="00977464"/>
    <w:pPr>
      <w:spacing w:after="200" w:line="276" w:lineRule="auto"/>
      <w:ind w:left="720"/>
    </w:pPr>
    <w:rPr>
      <w:bCs/>
    </w:rPr>
  </w:style>
  <w:style w:type="character" w:styleId="Emphasis">
    <w:name w:val="Emphasis"/>
    <w:basedOn w:val="DefaultParagraphFont"/>
    <w:qFormat/>
    <w:rsid w:val="00DA2B86"/>
    <w:rPr>
      <w:i/>
      <w:iCs/>
    </w:rPr>
  </w:style>
  <w:style w:type="paragraph" w:styleId="BodyText2">
    <w:name w:val="Body Text 2"/>
    <w:basedOn w:val="Normal"/>
    <w:rsid w:val="00A96C8F"/>
    <w:pPr>
      <w:spacing w:after="120" w:line="480" w:lineRule="auto"/>
    </w:pPr>
    <w:rPr>
      <w:sz w:val="24"/>
      <w:szCs w:val="24"/>
      <w:lang w:eastAsia="lv-LV"/>
    </w:rPr>
  </w:style>
  <w:style w:type="paragraph" w:styleId="BodyTextIndent">
    <w:name w:val="Body Text Indent"/>
    <w:basedOn w:val="Normal"/>
    <w:rsid w:val="00DD344C"/>
    <w:pPr>
      <w:spacing w:after="120"/>
      <w:ind w:left="283"/>
    </w:pPr>
  </w:style>
  <w:style w:type="paragraph" w:styleId="BodyText3">
    <w:name w:val="Body Text 3"/>
    <w:basedOn w:val="Normal"/>
    <w:rsid w:val="00DD344C"/>
    <w:pPr>
      <w:spacing w:after="120"/>
    </w:pPr>
    <w:rPr>
      <w:sz w:val="16"/>
      <w:szCs w:val="16"/>
      <w:lang w:eastAsia="lv-LV"/>
    </w:rPr>
  </w:style>
  <w:style w:type="paragraph" w:styleId="Title">
    <w:name w:val="Title"/>
    <w:basedOn w:val="Normal"/>
    <w:qFormat/>
    <w:rsid w:val="00DD344C"/>
    <w:pPr>
      <w:jc w:val="center"/>
    </w:pPr>
    <w:rPr>
      <w:b/>
      <w:sz w:val="28"/>
      <w:lang w:eastAsia="lv-LV"/>
    </w:rPr>
  </w:style>
  <w:style w:type="paragraph" w:customStyle="1" w:styleId="naisf">
    <w:name w:val="naisf"/>
    <w:basedOn w:val="Normal"/>
    <w:rsid w:val="00DD344C"/>
    <w:pPr>
      <w:spacing w:before="100" w:beforeAutospacing="1" w:after="100" w:afterAutospacing="1"/>
    </w:pPr>
    <w:rPr>
      <w:sz w:val="24"/>
      <w:szCs w:val="24"/>
      <w:lang w:eastAsia="lv-LV"/>
    </w:rPr>
  </w:style>
  <w:style w:type="numbering" w:customStyle="1" w:styleId="CurrentList1">
    <w:name w:val="Current List1"/>
    <w:rsid w:val="00DD344C"/>
    <w:pPr>
      <w:numPr>
        <w:numId w:val="11"/>
      </w:numPr>
    </w:pPr>
  </w:style>
  <w:style w:type="character" w:customStyle="1" w:styleId="relvirsr1">
    <w:name w:val="rel_virsr1"/>
    <w:basedOn w:val="DefaultParagraphFont"/>
    <w:rsid w:val="00690A15"/>
    <w:rPr>
      <w:rFonts w:ascii="Arial" w:hAnsi="Arial" w:cs="Arial" w:hint="default"/>
    </w:rPr>
  </w:style>
  <w:style w:type="paragraph" w:customStyle="1" w:styleId="naiskr">
    <w:name w:val="naiskr"/>
    <w:basedOn w:val="Normal"/>
    <w:rsid w:val="009E6CB0"/>
    <w:pPr>
      <w:spacing w:before="100" w:beforeAutospacing="1" w:after="100" w:afterAutospacing="1"/>
    </w:pPr>
    <w:rPr>
      <w:sz w:val="24"/>
      <w:szCs w:val="24"/>
      <w:lang w:eastAsia="lv-LV"/>
    </w:rPr>
  </w:style>
  <w:style w:type="character" w:styleId="Strong">
    <w:name w:val="Strong"/>
    <w:basedOn w:val="DefaultParagraphFont"/>
    <w:uiPriority w:val="22"/>
    <w:qFormat/>
    <w:rsid w:val="00041A75"/>
    <w:rPr>
      <w:b/>
      <w:bCs/>
    </w:rPr>
  </w:style>
  <w:style w:type="character" w:styleId="FollowedHyperlink">
    <w:name w:val="FollowedHyperlink"/>
    <w:basedOn w:val="DefaultParagraphFont"/>
    <w:uiPriority w:val="99"/>
    <w:semiHidden/>
    <w:unhideWhenUsed/>
    <w:rsid w:val="00FA797C"/>
    <w:rPr>
      <w:color w:val="800080"/>
      <w:u w:val="single"/>
    </w:rPr>
  </w:style>
</w:styles>
</file>

<file path=word/webSettings.xml><?xml version="1.0" encoding="utf-8"?>
<w:webSettings xmlns:r="http://schemas.openxmlformats.org/officeDocument/2006/relationships" xmlns:w="http://schemas.openxmlformats.org/wordprocessingml/2006/main">
  <w:divs>
    <w:div w:id="984312016">
      <w:bodyDiv w:val="1"/>
      <w:marLeft w:val="0"/>
      <w:marRight w:val="0"/>
      <w:marTop w:val="0"/>
      <w:marBottom w:val="0"/>
      <w:divBdr>
        <w:top w:val="none" w:sz="0" w:space="0" w:color="auto"/>
        <w:left w:val="none" w:sz="0" w:space="0" w:color="auto"/>
        <w:bottom w:val="none" w:sz="0" w:space="0" w:color="auto"/>
        <w:right w:val="none" w:sz="0" w:space="0" w:color="auto"/>
      </w:divBdr>
    </w:div>
    <w:div w:id="1103843676">
      <w:bodyDiv w:val="1"/>
      <w:marLeft w:val="0"/>
      <w:marRight w:val="0"/>
      <w:marTop w:val="0"/>
      <w:marBottom w:val="0"/>
      <w:divBdr>
        <w:top w:val="none" w:sz="0" w:space="0" w:color="auto"/>
        <w:left w:val="none" w:sz="0" w:space="0" w:color="auto"/>
        <w:bottom w:val="none" w:sz="0" w:space="0" w:color="auto"/>
        <w:right w:val="none" w:sz="0" w:space="0" w:color="auto"/>
      </w:divBdr>
    </w:div>
    <w:div w:id="1155141765">
      <w:bodyDiv w:val="1"/>
      <w:marLeft w:val="0"/>
      <w:marRight w:val="0"/>
      <w:marTop w:val="0"/>
      <w:marBottom w:val="0"/>
      <w:divBdr>
        <w:top w:val="none" w:sz="0" w:space="0" w:color="auto"/>
        <w:left w:val="none" w:sz="0" w:space="0" w:color="auto"/>
        <w:bottom w:val="none" w:sz="0" w:space="0" w:color="auto"/>
        <w:right w:val="none" w:sz="0" w:space="0" w:color="auto"/>
      </w:divBdr>
    </w:div>
    <w:div w:id="1275870237">
      <w:bodyDiv w:val="1"/>
      <w:marLeft w:val="0"/>
      <w:marRight w:val="0"/>
      <w:marTop w:val="0"/>
      <w:marBottom w:val="0"/>
      <w:divBdr>
        <w:top w:val="none" w:sz="0" w:space="0" w:color="auto"/>
        <w:left w:val="none" w:sz="0" w:space="0" w:color="auto"/>
        <w:bottom w:val="none" w:sz="0" w:space="0" w:color="auto"/>
        <w:right w:val="none" w:sz="0" w:space="0" w:color="auto"/>
      </w:divBdr>
      <w:divsChild>
        <w:div w:id="1194154476">
          <w:marLeft w:val="0"/>
          <w:marRight w:val="0"/>
          <w:marTop w:val="150"/>
          <w:marBottom w:val="0"/>
          <w:divBdr>
            <w:top w:val="none" w:sz="0" w:space="0" w:color="auto"/>
            <w:left w:val="none" w:sz="0" w:space="0" w:color="auto"/>
            <w:bottom w:val="none" w:sz="0" w:space="0" w:color="auto"/>
            <w:right w:val="none" w:sz="0" w:space="0" w:color="auto"/>
          </w:divBdr>
          <w:divsChild>
            <w:div w:id="1042557066">
              <w:marLeft w:val="0"/>
              <w:marRight w:val="0"/>
              <w:marTop w:val="0"/>
              <w:marBottom w:val="0"/>
              <w:divBdr>
                <w:top w:val="none" w:sz="0" w:space="0" w:color="auto"/>
                <w:left w:val="none" w:sz="0" w:space="0" w:color="auto"/>
                <w:bottom w:val="none" w:sz="0" w:space="0" w:color="auto"/>
                <w:right w:val="none" w:sz="0" w:space="0" w:color="auto"/>
              </w:divBdr>
              <w:divsChild>
                <w:div w:id="996762602">
                  <w:marLeft w:val="0"/>
                  <w:marRight w:val="0"/>
                  <w:marTop w:val="0"/>
                  <w:marBottom w:val="0"/>
                  <w:divBdr>
                    <w:top w:val="none" w:sz="0" w:space="0" w:color="auto"/>
                    <w:left w:val="none" w:sz="0" w:space="0" w:color="auto"/>
                    <w:bottom w:val="none" w:sz="0" w:space="0" w:color="auto"/>
                    <w:right w:val="none" w:sz="0" w:space="0" w:color="auto"/>
                  </w:divBdr>
                  <w:divsChild>
                    <w:div w:id="8544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1574">
      <w:bodyDiv w:val="1"/>
      <w:marLeft w:val="0"/>
      <w:marRight w:val="0"/>
      <w:marTop w:val="0"/>
      <w:marBottom w:val="0"/>
      <w:divBdr>
        <w:top w:val="none" w:sz="0" w:space="0" w:color="auto"/>
        <w:left w:val="none" w:sz="0" w:space="0" w:color="auto"/>
        <w:bottom w:val="none" w:sz="0" w:space="0" w:color="auto"/>
        <w:right w:val="none" w:sz="0" w:space="0" w:color="auto"/>
      </w:divBdr>
      <w:divsChild>
        <w:div w:id="2058434703">
          <w:marLeft w:val="0"/>
          <w:marRight w:val="0"/>
          <w:marTop w:val="0"/>
          <w:marBottom w:val="0"/>
          <w:divBdr>
            <w:top w:val="none" w:sz="0" w:space="0" w:color="auto"/>
            <w:left w:val="none" w:sz="0" w:space="0" w:color="auto"/>
            <w:bottom w:val="none" w:sz="0" w:space="0" w:color="auto"/>
            <w:right w:val="none" w:sz="0" w:space="0" w:color="auto"/>
          </w:divBdr>
        </w:div>
      </w:divsChild>
    </w:div>
    <w:div w:id="17397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ec.europa.eu/competition/sectors/pharmaceuticals%20/inquiry/communication_l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30283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A5038-F129-427C-8357-2E4BB650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~3028323.dot</Template>
  <TotalTime>98</TotalTime>
  <Pages>5</Pages>
  <Words>1215</Words>
  <Characters>8505</Characters>
  <Application>Microsoft Office Word</Application>
  <DocSecurity>0</DocSecurity>
  <Lines>218</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lētākās cenas zāļu izvēles procedūru</vt:lpstr>
      <vt:lpstr>Informatīvais ziņojums par iespējām racionalizēt  valsts budžeta un pacientu izdevumus zāļu iegādei</vt:lpstr>
    </vt:vector>
  </TitlesOfParts>
  <Company>Veselības ministrija</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lētākās cenas zāļu izvēles procedūru</dc:title>
  <dc:subject>Informatīvais ziņojums</dc:subject>
  <dc:creator>Silvija Riekstiņa</dc:creator>
  <cp:keywords/>
  <dc:description>Silvija.Riekstina@vm.gov.lv; tālr.:67876115;
fakss: 67876071</dc:description>
  <cp:lastModifiedBy>VM</cp:lastModifiedBy>
  <cp:revision>7</cp:revision>
  <cp:lastPrinted>2011-11-17T11:07:00Z</cp:lastPrinted>
  <dcterms:created xsi:type="dcterms:W3CDTF">2011-11-17T08:21:00Z</dcterms:created>
  <dcterms:modified xsi:type="dcterms:W3CDTF">2011-11-17T11:42:00Z</dcterms:modified>
</cp:coreProperties>
</file>